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03601" w14:textId="77777777" w:rsidR="00B37F7F" w:rsidRDefault="00000000">
      <w:pPr>
        <w:pStyle w:val="affffffe"/>
        <w:framePr w:wrap="around"/>
      </w:pPr>
      <w:r>
        <w:rPr>
          <w:rFonts w:ascii="Times New Roman"/>
        </w:rPr>
        <w:t>ICS</w:t>
      </w:r>
      <w:r>
        <w:rPr>
          <w:rFonts w:ascii="MS Mincho" w:eastAsia="MS Mincho" w:hAnsi="MS Mincho" w:cs="MS Mincho" w:hint="eastAsia"/>
        </w:rPr>
        <w:t> </w:t>
      </w:r>
      <w:r>
        <w:rPr>
          <w:rFonts w:hint="eastAsia"/>
        </w:rPr>
        <w:t>11.100</w:t>
      </w:r>
    </w:p>
    <w:p w14:paraId="20E476B8" w14:textId="77777777" w:rsidR="00B37F7F" w:rsidRDefault="00B37F7F">
      <w:pPr>
        <w:pStyle w:val="affffffe"/>
        <w:framePr w:wrap="arou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B37F7F" w14:paraId="7BF92B52" w14:textId="77777777">
        <w:tc>
          <w:tcPr>
            <w:tcW w:w="9854" w:type="dxa"/>
            <w:tcBorders>
              <w:top w:val="nil"/>
              <w:left w:val="nil"/>
              <w:bottom w:val="nil"/>
              <w:right w:val="nil"/>
            </w:tcBorders>
            <w:shd w:val="clear" w:color="auto" w:fill="auto"/>
          </w:tcPr>
          <w:p w14:paraId="77AB26B7" w14:textId="77777777" w:rsidR="00B37F7F" w:rsidRDefault="00000000">
            <w:pPr>
              <w:pStyle w:val="affffffe"/>
              <w:framePr w:wrap="around"/>
            </w:pPr>
            <w:r>
              <w:rPr>
                <w:noProof/>
              </w:rPr>
              <mc:AlternateContent>
                <mc:Choice Requires="wps">
                  <w:drawing>
                    <wp:anchor distT="0" distB="0" distL="114300" distR="114300" simplePos="0" relativeHeight="251663360" behindDoc="1" locked="0" layoutInCell="1" allowOverlap="1" wp14:anchorId="2306EF4A" wp14:editId="5C16A633">
                      <wp:simplePos x="0" y="0"/>
                      <wp:positionH relativeFrom="column">
                        <wp:posOffset>-66675</wp:posOffset>
                      </wp:positionH>
                      <wp:positionV relativeFrom="paragraph">
                        <wp:posOffset>0</wp:posOffset>
                      </wp:positionV>
                      <wp:extent cx="866775" cy="198120"/>
                      <wp:effectExtent l="0" t="0" r="0" b="0"/>
                      <wp:wrapNone/>
                      <wp:docPr id="20"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BAH"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iuL+zVAAAABwEAAA8AAAAAAAAAAQAgAAAAIgAA&#10;AGRycy9kb3ducmV2LnhtbFBLAQIUABQAAAAIAIdO4kADZR1ICwIAACEEAAAOAAAAAAAAAAEAIAAA&#10;ACQBAABkcnMvZTJvRG9jLnhtbFBLBQYAAAAABgAGAFkBAAChBQAAAAA=&#10;">
                      <v:fill on="t" focussize="0,0"/>
                      <v:stroke on="f"/>
                      <v:imagedata o:title=""/>
                      <o:lock v:ext="edit" aspectratio="f"/>
                    </v:rect>
                  </w:pict>
                </mc:Fallback>
              </mc:AlternateContent>
            </w:r>
          </w:p>
        </w:tc>
      </w:tr>
    </w:tbl>
    <w:p w14:paraId="20FFD7E9" w14:textId="77777777" w:rsidR="00B37F7F" w:rsidRDefault="00000000">
      <w:pPr>
        <w:pStyle w:val="20"/>
        <w:framePr w:wrap="around"/>
        <w:rPr>
          <w:rFonts w:hAnsi="黑体" w:hint="eastAsia"/>
        </w:rPr>
      </w:pPr>
      <w:bookmarkStart w:id="0" w:name="OLE_LINK4"/>
      <w:r>
        <w:rPr>
          <w:rFonts w:ascii="Times New Roman"/>
        </w:rPr>
        <w:t>T/</w:t>
      </w:r>
      <w:bookmarkStart w:id="1" w:name="StdNo0"/>
      <w:r>
        <w:rPr>
          <w:rFonts w:ascii="Times New Roman"/>
        </w:rPr>
        <w:fldChar w:fldCharType="begin">
          <w:ffData>
            <w:name w:val="StdNo0"/>
            <w:enabled/>
            <w:calcOnExit w:val="0"/>
            <w:textInput>
              <w:default w:val="×××"/>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CSBT</w:t>
      </w:r>
      <w:r>
        <w:rPr>
          <w:rFonts w:ascii="Times New Roman"/>
        </w:rPr>
        <w:fldChar w:fldCharType="end"/>
      </w:r>
      <w:bookmarkEnd w:id="1"/>
      <w:r>
        <w:rPr>
          <w:rFonts w:hAnsi="黑体" w:hint="eastAsia"/>
        </w:rPr>
        <w:t xml:space="preserve"> 004</w:t>
      </w:r>
      <w:r>
        <w:rPr>
          <w:rFonts w:hAnsi="黑体"/>
        </w:rPr>
        <w:t>—</w:t>
      </w:r>
      <w:r>
        <w:rPr>
          <w:rFonts w:hAnsi="黑体" w:hint="eastAsia"/>
        </w:rPr>
        <w:t>2024</w:t>
      </w:r>
    </w:p>
    <w:bookmarkEnd w:id="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B37F7F" w14:paraId="4294931A" w14:textId="77777777">
        <w:tc>
          <w:tcPr>
            <w:tcW w:w="9356" w:type="dxa"/>
            <w:tcBorders>
              <w:top w:val="nil"/>
              <w:left w:val="nil"/>
              <w:bottom w:val="nil"/>
              <w:right w:val="nil"/>
            </w:tcBorders>
          </w:tcPr>
          <w:p w14:paraId="120AC782" w14:textId="77777777" w:rsidR="00B37F7F" w:rsidRDefault="00B37F7F">
            <w:pPr>
              <w:pStyle w:val="afffff"/>
              <w:framePr w:wrap="around"/>
            </w:pPr>
          </w:p>
        </w:tc>
      </w:tr>
    </w:tbl>
    <w:p w14:paraId="58DC3438" w14:textId="77777777" w:rsidR="00B37F7F" w:rsidRDefault="00B37F7F">
      <w:pPr>
        <w:pStyle w:val="20"/>
        <w:framePr w:wrap="around"/>
        <w:rPr>
          <w:rFonts w:hAnsi="黑体" w:hint="eastAsia"/>
        </w:rPr>
      </w:pPr>
    </w:p>
    <w:p w14:paraId="12CC3824" w14:textId="77777777" w:rsidR="00B37F7F" w:rsidRDefault="00B37F7F">
      <w:pPr>
        <w:pStyle w:val="20"/>
        <w:framePr w:wrap="around"/>
        <w:rPr>
          <w:rFonts w:hAnsi="黑体" w:hint="eastAsia"/>
        </w:rPr>
      </w:pPr>
    </w:p>
    <w:p w14:paraId="3F9270DB" w14:textId="77777777" w:rsidR="00B37F7F" w:rsidRDefault="00000000">
      <w:pPr>
        <w:pStyle w:val="afffff0"/>
        <w:framePr w:wrap="around" w:x="1261" w:y="6136"/>
        <w:rPr>
          <w:rFonts w:hAnsi="黑体" w:hint="eastAsia"/>
        </w:rPr>
      </w:pPr>
      <w:bookmarkStart w:id="2" w:name="OLE_LINK3"/>
      <w:r>
        <w:rPr>
          <w:rFonts w:hAnsi="黑体" w:hint="eastAsia"/>
          <w:szCs w:val="21"/>
        </w:rPr>
        <w:t>血站血液检测实验室质量监测指标</w:t>
      </w:r>
      <w:bookmarkEnd w:id="2"/>
    </w:p>
    <w:p w14:paraId="700048BD" w14:textId="77777777" w:rsidR="00B37F7F" w:rsidRDefault="00000000">
      <w:pPr>
        <w:pStyle w:val="afffff1"/>
        <w:framePr w:wrap="around" w:x="1261" w:y="6136"/>
        <w:rPr>
          <w:rFonts w:eastAsia="仿宋"/>
          <w:szCs w:val="21"/>
        </w:rPr>
      </w:pPr>
      <w:r>
        <w:rPr>
          <w:rFonts w:eastAsia="仿宋"/>
          <w:szCs w:val="21"/>
        </w:rPr>
        <w:t xml:space="preserve">Quality </w:t>
      </w:r>
      <w:r>
        <w:rPr>
          <w:rFonts w:eastAsia="仿宋" w:hint="eastAsia"/>
          <w:szCs w:val="21"/>
        </w:rPr>
        <w:t xml:space="preserve">monitoring </w:t>
      </w:r>
      <w:r>
        <w:rPr>
          <w:rFonts w:eastAsia="仿宋"/>
          <w:szCs w:val="21"/>
        </w:rPr>
        <w:t xml:space="preserve">indicators </w:t>
      </w:r>
      <w:r>
        <w:rPr>
          <w:rFonts w:eastAsia="仿宋" w:hint="eastAsia"/>
          <w:szCs w:val="21"/>
        </w:rPr>
        <w:t>of</w:t>
      </w:r>
      <w:r>
        <w:rPr>
          <w:rFonts w:eastAsia="仿宋"/>
          <w:szCs w:val="21"/>
        </w:rPr>
        <w:t xml:space="preserve"> blood </w:t>
      </w:r>
      <w:r>
        <w:t>donation</w:t>
      </w:r>
      <w:r>
        <w:rPr>
          <w:rFonts w:eastAsia="仿宋" w:hint="eastAsia"/>
          <w:szCs w:val="21"/>
        </w:rPr>
        <w:t xml:space="preserve"> testing </w:t>
      </w:r>
      <w:r>
        <w:rPr>
          <w:rFonts w:eastAsia="仿宋"/>
          <w:szCs w:val="21"/>
        </w:rPr>
        <w:t>laborator</w:t>
      </w:r>
      <w:r>
        <w:rPr>
          <w:rFonts w:eastAsia="仿宋" w:hint="eastAsia"/>
          <w:szCs w:val="21"/>
        </w:rPr>
        <w:t>y</w:t>
      </w:r>
    </w:p>
    <w:p w14:paraId="55F369ED" w14:textId="77777777" w:rsidR="00B37F7F" w:rsidRDefault="00000000">
      <w:pPr>
        <w:pStyle w:val="afffff1"/>
        <w:framePr w:wrap="around" w:x="1261" w:y="6136"/>
      </w:pPr>
      <w:r>
        <w:rPr>
          <w:rFonts w:eastAsia="仿宋" w:hint="eastAsia"/>
          <w:szCs w:val="21"/>
        </w:rPr>
        <w:t xml:space="preserve">in blood </w:t>
      </w:r>
      <w:r>
        <w:rPr>
          <w:rFonts w:eastAsia="仿宋"/>
          <w:szCs w:val="21"/>
        </w:rPr>
        <w:t>establishment</w:t>
      </w:r>
    </w:p>
    <w:p w14:paraId="76339F42" w14:textId="77777777" w:rsidR="00B37F7F" w:rsidRDefault="00B37F7F">
      <w:pPr>
        <w:pStyle w:val="afffff2"/>
        <w:framePr w:wrap="around" w:x="1261" w:y="6136"/>
        <w:spacing w:before="0" w:line="240" w:lineRule="auto"/>
        <w:jc w:val="both"/>
        <w:rPr>
          <w:sz w:val="21"/>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B37F7F" w14:paraId="60F9E5FB" w14:textId="77777777">
        <w:tc>
          <w:tcPr>
            <w:tcW w:w="9855" w:type="dxa"/>
            <w:tcBorders>
              <w:top w:val="nil"/>
              <w:left w:val="nil"/>
              <w:bottom w:val="nil"/>
              <w:right w:val="nil"/>
            </w:tcBorders>
            <w:shd w:val="clear" w:color="auto" w:fill="auto"/>
          </w:tcPr>
          <w:p w14:paraId="357191FA" w14:textId="77777777" w:rsidR="00B37F7F" w:rsidRDefault="00000000">
            <w:pPr>
              <w:pStyle w:val="afffff3"/>
              <w:framePr w:wrap="around" w:x="1261" w:y="6136"/>
            </w:pPr>
            <w:r>
              <w:rPr>
                <w:noProof/>
                <w:highlight w:val="yellow"/>
              </w:rPr>
              <mc:AlternateContent>
                <mc:Choice Requires="wps">
                  <w:drawing>
                    <wp:anchor distT="0" distB="0" distL="114300" distR="114300" simplePos="0" relativeHeight="251662336" behindDoc="1" locked="1" layoutInCell="1" allowOverlap="1" wp14:anchorId="6BF2D4D5" wp14:editId="5DDBD534">
                      <wp:simplePos x="0" y="0"/>
                      <wp:positionH relativeFrom="column">
                        <wp:posOffset>2200910</wp:posOffset>
                      </wp:positionH>
                      <wp:positionV relativeFrom="paragraph">
                        <wp:posOffset>573405</wp:posOffset>
                      </wp:positionV>
                      <wp:extent cx="1905000" cy="254000"/>
                      <wp:effectExtent l="0" t="0" r="0" b="0"/>
                      <wp:wrapNone/>
                      <wp:docPr id="18"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4144;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Fia6S1QAAAAoBAAAPAAAAAAAAAAEAIAAAACIAAABk&#10;cnMvZG93bnJldi54bWxQSwECFAAUAAAACACHTuJAb3UlbAkCAAAhBAAADgAAAAAAAAABACAAAAAk&#10;AQAAZHJzL2Uyb0RvYy54bWxQSwUGAAAAAAYABgBZAQAAnwUAAAAA&#10;">
                      <v:fill on="t" focussize="0,0"/>
                      <v:stroke on="f"/>
                      <v:imagedata o:title=""/>
                      <o:lock v:ext="edit" aspectratio="f"/>
                      <w10:anchorlock/>
                    </v:rect>
                  </w:pict>
                </mc:Fallback>
              </mc:AlternateContent>
            </w:r>
            <w:r>
              <w:rPr>
                <w:noProof/>
                <w:highlight w:val="yellow"/>
              </w:rPr>
              <mc:AlternateContent>
                <mc:Choice Requires="wps">
                  <w:drawing>
                    <wp:anchor distT="0" distB="0" distL="114300" distR="114300" simplePos="0" relativeHeight="251661312" behindDoc="1" locked="0" layoutInCell="1" allowOverlap="1" wp14:anchorId="558F2666" wp14:editId="6FC0F037">
                      <wp:simplePos x="0" y="0"/>
                      <wp:positionH relativeFrom="column">
                        <wp:posOffset>2454910</wp:posOffset>
                      </wp:positionH>
                      <wp:positionV relativeFrom="paragraph">
                        <wp:posOffset>255905</wp:posOffset>
                      </wp:positionV>
                      <wp:extent cx="1270000" cy="304800"/>
                      <wp:effectExtent l="0" t="0" r="0" b="0"/>
                      <wp:wrapNone/>
                      <wp:docPr id="17"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5168;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GL5dYAAAAJAQAADwAAAAAAAAABACAAAAAiAAAA&#10;ZHJzL2Rvd25yZXYueG1sUEsBAhQAFAAAAAgAh07iQOSabQ4JAgAAIQQAAA4AAAAAAAAAAQAgAAAA&#10;JQEAAGRycy9lMm9Eb2MueG1sUEsFBgAAAAAGAAYAWQEAAKAFAAAAAA==&#10;">
                      <v:fill on="t" focussize="0,0"/>
                      <v:stroke on="f"/>
                      <v:imagedata o:title=""/>
                      <o:lock v:ext="edit" aspectratio="f"/>
                    </v:rect>
                  </w:pict>
                </mc:Fallback>
              </mc:AlternateContent>
            </w:r>
            <w:r>
              <w:rPr>
                <w:rFonts w:hint="eastAsia"/>
              </w:rPr>
              <w:t>（征求意见稿）</w:t>
            </w:r>
          </w:p>
        </w:tc>
      </w:tr>
      <w:tr w:rsidR="00B37F7F" w14:paraId="798EC61D" w14:textId="77777777">
        <w:tc>
          <w:tcPr>
            <w:tcW w:w="9855" w:type="dxa"/>
            <w:tcBorders>
              <w:top w:val="nil"/>
              <w:left w:val="nil"/>
              <w:bottom w:val="nil"/>
              <w:right w:val="nil"/>
            </w:tcBorders>
            <w:shd w:val="clear" w:color="auto" w:fill="auto"/>
          </w:tcPr>
          <w:p w14:paraId="6DF8B6EE" w14:textId="77777777" w:rsidR="00B37F7F" w:rsidRDefault="00000000">
            <w:pPr>
              <w:pStyle w:val="afffff4"/>
              <w:framePr w:wrap="around" w:x="1261" w:y="6136"/>
            </w:pPr>
            <w:r>
              <w:rPr>
                <w:rFonts w:hint="eastAsia"/>
              </w:rPr>
              <w:t>（本草案完成时间：2024.10.25）</w:t>
            </w:r>
          </w:p>
        </w:tc>
      </w:tr>
    </w:tbl>
    <w:p w14:paraId="755337E6" w14:textId="77777777" w:rsidR="00B37F7F" w:rsidRDefault="00000000">
      <w:pPr>
        <w:pStyle w:val="afffffff4"/>
        <w:framePr w:w="10586" w:wrap="around" w:hAnchor="page" w:x="1314" w:y="14101"/>
        <w:pBdr>
          <w:bottom w:val="single" w:sz="4" w:space="1" w:color="auto"/>
        </w:pBdr>
        <w:ind w:right="1118" w:firstLineChars="100" w:firstLine="280"/>
        <w:jc w:val="center"/>
        <w:rPr>
          <w:u w:val="single"/>
        </w:rPr>
      </w:pPr>
      <w:r>
        <w:rPr>
          <w:rFonts w:ascii="黑体" w:hAnsi="黑体" w:hint="eastAsia"/>
          <w:u w:val="single"/>
        </w:rPr>
        <w:t>XXXX</w:t>
      </w:r>
      <w:r>
        <w:rPr>
          <w:rFonts w:ascii="黑体"/>
          <w:u w:val="single"/>
        </w:rPr>
        <w:t>-</w:t>
      </w:r>
      <w:r>
        <w:rPr>
          <w:rFonts w:ascii="黑体"/>
          <w:u w:val="single"/>
        </w:rPr>
        <w:fldChar w:fldCharType="begin">
          <w:ffData>
            <w:name w:val="FM"/>
            <w:enabled/>
            <w:calcOnExit w:val="0"/>
            <w:entryMacro w:val="ShowHelp8"/>
            <w:textInput>
              <w:default w:val="XX"/>
              <w:maxLength w:val="2"/>
            </w:textInput>
          </w:ffData>
        </w:fldChar>
      </w:r>
      <w:r>
        <w:rPr>
          <w:rFonts w:ascii="黑体"/>
          <w:u w:val="single"/>
        </w:rPr>
        <w:instrText xml:space="preserve"> FORMTEXT </w:instrText>
      </w:r>
      <w:r>
        <w:rPr>
          <w:rFonts w:ascii="黑体"/>
          <w:u w:val="single"/>
        </w:rPr>
      </w:r>
      <w:r>
        <w:rPr>
          <w:rFonts w:ascii="黑体"/>
          <w:u w:val="single"/>
        </w:rPr>
        <w:fldChar w:fldCharType="separate"/>
      </w:r>
      <w:r>
        <w:rPr>
          <w:rFonts w:ascii="黑体"/>
          <w:u w:val="single"/>
        </w:rPr>
        <w:t>XX</w:t>
      </w:r>
      <w:r>
        <w:rPr>
          <w:rFonts w:ascii="黑体"/>
          <w:u w:val="single"/>
        </w:rPr>
        <w:fldChar w:fldCharType="end"/>
      </w:r>
      <w:r>
        <w:rPr>
          <w:rFonts w:ascii="黑体"/>
          <w:u w:val="single"/>
        </w:rPr>
        <w:t>-</w:t>
      </w:r>
      <w:bookmarkStart w:id="3" w:name="FD"/>
      <w:r>
        <w:rPr>
          <w:rFonts w:ascii="黑体"/>
          <w:u w:val="single"/>
        </w:rPr>
        <w:fldChar w:fldCharType="begin">
          <w:ffData>
            <w:name w:val="FD"/>
            <w:enabled/>
            <w:calcOnExit w:val="0"/>
            <w:entryMacro w:val="ShowHelp8"/>
            <w:textInput>
              <w:default w:val="XX"/>
              <w:maxLength w:val="2"/>
            </w:textInput>
          </w:ffData>
        </w:fldChar>
      </w:r>
      <w:r>
        <w:rPr>
          <w:rFonts w:ascii="黑体"/>
          <w:u w:val="single"/>
        </w:rPr>
        <w:instrText xml:space="preserve"> FORMTEXT </w:instrText>
      </w:r>
      <w:r>
        <w:rPr>
          <w:rFonts w:ascii="黑体"/>
          <w:u w:val="single"/>
        </w:rPr>
      </w:r>
      <w:r>
        <w:rPr>
          <w:rFonts w:ascii="黑体"/>
          <w:u w:val="single"/>
        </w:rPr>
        <w:fldChar w:fldCharType="separate"/>
      </w:r>
      <w:r>
        <w:rPr>
          <w:rFonts w:ascii="黑体"/>
          <w:u w:val="single"/>
        </w:rPr>
        <w:t>XX</w:t>
      </w:r>
      <w:r>
        <w:rPr>
          <w:rFonts w:ascii="黑体"/>
          <w:u w:val="single"/>
        </w:rPr>
        <w:fldChar w:fldCharType="end"/>
      </w:r>
      <w:bookmarkEnd w:id="3"/>
      <w:r>
        <w:rPr>
          <w:rFonts w:hint="eastAsia"/>
          <w:u w:val="single"/>
        </w:rPr>
        <w:t>发布</w:t>
      </w:r>
      <w:r>
        <w:rPr>
          <w:noProof/>
          <w:u w:val="single"/>
        </w:rPr>
        <mc:AlternateContent>
          <mc:Choice Requires="wps">
            <w:drawing>
              <wp:anchor distT="0" distB="0" distL="114300" distR="114300" simplePos="0" relativeHeight="251659264" behindDoc="0" locked="1" layoutInCell="1" allowOverlap="1" wp14:anchorId="57CC7407" wp14:editId="598C08BB">
                <wp:simplePos x="0" y="0"/>
                <wp:positionH relativeFrom="column">
                  <wp:posOffset>-635</wp:posOffset>
                </wp:positionH>
                <wp:positionV relativeFrom="page">
                  <wp:posOffset>9251315</wp:posOffset>
                </wp:positionV>
                <wp:extent cx="6120130" cy="0"/>
                <wp:effectExtent l="0" t="0" r="0" b="0"/>
                <wp:wrapNone/>
                <wp:docPr id="1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22" o:spid="_x0000_s1026" o:spt="20" style="position:absolute;left:0pt;margin-left:-0.05pt;margin-top:728.45pt;height:0pt;width:481.9pt;mso-position-vertical-relative:page;z-index:251659264;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MtL/PXAAAACwEAAA8AAAAAAAAAAQAgAAAAIgAAAGRycy9k&#10;b3ducmV2LnhtbFBLAQIUABQAAAAIAIdO4kCsnsXOygEAAKEDAAAOAAAAAAAAAAEAIAAAACYBAABk&#10;cnMvZTJvRG9jLnhtbFBLBQYAAAAABgAGAFkBAABiBQAAAAA=&#10;">
                <v:fill on="f" focussize="0,0"/>
                <v:stroke color="#000000" joinstyle="round"/>
                <v:imagedata o:title=""/>
                <o:lock v:ext="edit" aspectratio="f"/>
                <w10:anchorlock/>
              </v:line>
            </w:pict>
          </mc:Fallback>
        </mc:AlternateContent>
      </w:r>
      <w:r>
        <w:rPr>
          <w:rFonts w:hint="eastAsia"/>
          <w:u w:val="single"/>
        </w:rPr>
        <w:t xml:space="preserve">                                   </w:t>
      </w:r>
      <w:r>
        <w:rPr>
          <w:rFonts w:ascii="黑体" w:hAnsi="黑体" w:hint="eastAsia"/>
          <w:u w:val="single"/>
        </w:rPr>
        <w:t>XXXX</w:t>
      </w:r>
      <w:r>
        <w:rPr>
          <w:rFonts w:ascii="黑体"/>
          <w:u w:val="single"/>
        </w:rPr>
        <w:t>-</w:t>
      </w:r>
      <w:bookmarkStart w:id="4" w:name="SM"/>
      <w:r>
        <w:rPr>
          <w:rFonts w:ascii="黑体"/>
          <w:u w:val="single"/>
        </w:rPr>
        <w:fldChar w:fldCharType="begin">
          <w:ffData>
            <w:name w:val="SM"/>
            <w:enabled/>
            <w:calcOnExit w:val="0"/>
            <w:entryMacro w:val="ShowHelp9"/>
            <w:textInput>
              <w:default w:val="XX"/>
              <w:maxLength w:val="2"/>
            </w:textInput>
          </w:ffData>
        </w:fldChar>
      </w:r>
      <w:r>
        <w:rPr>
          <w:rFonts w:ascii="黑体"/>
          <w:u w:val="single"/>
        </w:rPr>
        <w:instrText xml:space="preserve"> FORMTEXT </w:instrText>
      </w:r>
      <w:r>
        <w:rPr>
          <w:rFonts w:ascii="黑体"/>
          <w:u w:val="single"/>
        </w:rPr>
      </w:r>
      <w:r>
        <w:rPr>
          <w:rFonts w:ascii="黑体"/>
          <w:u w:val="single"/>
        </w:rPr>
        <w:fldChar w:fldCharType="separate"/>
      </w:r>
      <w:r>
        <w:rPr>
          <w:rFonts w:ascii="黑体"/>
          <w:u w:val="single"/>
        </w:rPr>
        <w:t>XX</w:t>
      </w:r>
      <w:r>
        <w:rPr>
          <w:rFonts w:ascii="黑体"/>
          <w:u w:val="single"/>
        </w:rPr>
        <w:fldChar w:fldCharType="end"/>
      </w:r>
      <w:bookmarkEnd w:id="4"/>
      <w:r>
        <w:rPr>
          <w:rFonts w:ascii="黑体"/>
          <w:u w:val="single"/>
        </w:rPr>
        <w:t>-</w:t>
      </w:r>
      <w:bookmarkStart w:id="5" w:name="SD"/>
      <w:r>
        <w:rPr>
          <w:rFonts w:ascii="黑体"/>
          <w:u w:val="single"/>
        </w:rPr>
        <w:fldChar w:fldCharType="begin">
          <w:ffData>
            <w:name w:val="SD"/>
            <w:enabled/>
            <w:calcOnExit w:val="0"/>
            <w:entryMacro w:val="ShowHelp9"/>
            <w:textInput>
              <w:default w:val="XX"/>
              <w:maxLength w:val="2"/>
            </w:textInput>
          </w:ffData>
        </w:fldChar>
      </w:r>
      <w:r>
        <w:rPr>
          <w:rFonts w:ascii="黑体"/>
          <w:u w:val="single"/>
        </w:rPr>
        <w:instrText xml:space="preserve"> FORMTEXT </w:instrText>
      </w:r>
      <w:r>
        <w:rPr>
          <w:rFonts w:ascii="黑体"/>
          <w:u w:val="single"/>
        </w:rPr>
      </w:r>
      <w:r>
        <w:rPr>
          <w:rFonts w:ascii="黑体"/>
          <w:u w:val="single"/>
        </w:rPr>
        <w:fldChar w:fldCharType="separate"/>
      </w:r>
      <w:r>
        <w:rPr>
          <w:rFonts w:ascii="黑体"/>
          <w:u w:val="single"/>
        </w:rPr>
        <w:t>XX</w:t>
      </w:r>
      <w:r>
        <w:rPr>
          <w:rFonts w:ascii="黑体"/>
          <w:u w:val="single"/>
        </w:rPr>
        <w:fldChar w:fldCharType="end"/>
      </w:r>
      <w:bookmarkEnd w:id="5"/>
      <w:r>
        <w:rPr>
          <w:rFonts w:ascii="黑体" w:hint="eastAsia"/>
          <w:u w:val="single"/>
        </w:rPr>
        <w:t>实施</w:t>
      </w:r>
    </w:p>
    <w:p w14:paraId="14946C04" w14:textId="77777777" w:rsidR="00B37F7F" w:rsidRDefault="00000000">
      <w:pPr>
        <w:pStyle w:val="afffffff3"/>
        <w:framePr w:w="10586" w:wrap="around" w:hAnchor="page" w:x="1314" w:y="14101"/>
        <w:pBdr>
          <w:bottom w:val="single" w:sz="4" w:space="1" w:color="auto"/>
        </w:pBdr>
        <w:rPr>
          <w:u w:val="single"/>
        </w:rPr>
      </w:pPr>
      <w:r>
        <w:rPr>
          <w:rFonts w:hint="eastAsia"/>
          <w:u w:val="single"/>
        </w:rPr>
        <w:t xml:space="preserve">                                                        </w:t>
      </w:r>
    </w:p>
    <w:bookmarkStart w:id="6" w:name="fm"/>
    <w:p w14:paraId="1D0099DD" w14:textId="77777777" w:rsidR="00B37F7F" w:rsidRDefault="00000000">
      <w:pPr>
        <w:pStyle w:val="affffff3"/>
        <w:framePr w:w="9721" w:h="901" w:hRule="exact" w:wrap="around" w:x="1299"/>
      </w:pPr>
      <w:r>
        <w:rPr>
          <w:rStyle w:val="affffc"/>
        </w:rPr>
        <w:fldChar w:fldCharType="begin">
          <w:ffData>
            <w:name w:val="fm"/>
            <w:enabled/>
            <w:calcOnExit w:val="0"/>
            <w:textInput/>
          </w:ffData>
        </w:fldChar>
      </w:r>
      <w:r>
        <w:rPr>
          <w:rStyle w:val="affffc"/>
        </w:rPr>
        <w:instrText xml:space="preserve"> FORMTEXT </w:instrText>
      </w:r>
      <w:r>
        <w:rPr>
          <w:rStyle w:val="affffc"/>
        </w:rPr>
      </w:r>
      <w:r>
        <w:rPr>
          <w:rStyle w:val="affffc"/>
        </w:rPr>
        <w:fldChar w:fldCharType="separate"/>
      </w:r>
      <w:r>
        <w:rPr>
          <w:rStyle w:val="affffc"/>
        </w:rPr>
        <w:t>中</w:t>
      </w:r>
      <w:r>
        <w:rPr>
          <w:rStyle w:val="affffc"/>
          <w:rFonts w:hint="eastAsia"/>
        </w:rPr>
        <w:t>国输血协会</w:t>
      </w:r>
      <w:r>
        <w:rPr>
          <w:rStyle w:val="affffc"/>
        </w:rPr>
        <w:fldChar w:fldCharType="end"/>
      </w:r>
      <w:bookmarkEnd w:id="6"/>
      <w:r>
        <w:rPr>
          <w:rStyle w:val="affffc"/>
          <w:rFonts w:hint="eastAsia"/>
        </w:rPr>
        <w:t>发布</w:t>
      </w:r>
    </w:p>
    <w:p w14:paraId="3B1B86E8" w14:textId="77777777" w:rsidR="00B37F7F" w:rsidRDefault="00000000">
      <w:pPr>
        <w:pStyle w:val="affffff1"/>
        <w:framePr w:wrap="around"/>
      </w:pPr>
      <w:r>
        <w:t>T/</w:t>
      </w:r>
      <w:bookmarkStart w:id="7" w:name="c5"/>
      <w:r>
        <w:fldChar w:fldCharType="begin">
          <w:ffData>
            <w:name w:val="c5"/>
            <w:enabled/>
            <w:calcOnExit w:val="0"/>
            <w:entryMacro w:val="ShowHelp17"/>
            <w:textInput/>
          </w:ffData>
        </w:fldChar>
      </w:r>
      <w:r>
        <w:instrText xml:space="preserve"> FORMTEXT </w:instrText>
      </w:r>
      <w:r>
        <w:fldChar w:fldCharType="separate"/>
      </w:r>
      <w:r>
        <w:rPr>
          <w:rFonts w:hint="eastAsia"/>
        </w:rPr>
        <w:t>CSBT</w:t>
      </w:r>
      <w:r>
        <w:fldChar w:fldCharType="end"/>
      </w:r>
      <w:bookmarkEnd w:id="7"/>
    </w:p>
    <w:p w14:paraId="2A134108" w14:textId="77777777" w:rsidR="00B37F7F" w:rsidRDefault="00000000">
      <w:pPr>
        <w:pStyle w:val="affffff2"/>
        <w:framePr w:wrap="around"/>
        <w:spacing w:before="156" w:after="156"/>
        <w:rPr>
          <w:rFonts w:ascii="Times New Roman" w:hAnsi="Times New Roman"/>
        </w:rPr>
      </w:pPr>
      <w:r>
        <w:rPr>
          <w:rFonts w:hint="eastAsia"/>
        </w:rPr>
        <w:t>中国输血协会</w:t>
      </w:r>
      <w:r>
        <w:t>团体标</w:t>
      </w:r>
      <w:r>
        <w:rPr>
          <w:rFonts w:ascii="Times New Roman" w:hAnsi="Times New Roman"/>
        </w:rPr>
        <w:t>准</w:t>
      </w:r>
    </w:p>
    <w:p w14:paraId="3FB2A613" w14:textId="77777777" w:rsidR="00B37F7F" w:rsidRDefault="00000000">
      <w:pPr>
        <w:pStyle w:val="afff"/>
        <w:sectPr w:rsidR="00B37F7F">
          <w:headerReference w:type="default" r:id="rId10"/>
          <w:headerReference w:type="first" r:id="rId11"/>
          <w:footerReference w:type="first" r:id="rId12"/>
          <w:pgSz w:w="11906" w:h="16838"/>
          <w:pgMar w:top="567" w:right="850" w:bottom="1134" w:left="1418" w:header="0" w:footer="0" w:gutter="0"/>
          <w:pgNumType w:fmt="upperRoman" w:start="1"/>
          <w:cols w:space="425"/>
          <w:docGrid w:type="lines" w:linePitch="312"/>
        </w:sectPr>
      </w:pPr>
      <w:r>
        <w:rPr>
          <w:noProof/>
        </w:rPr>
        <mc:AlternateContent>
          <mc:Choice Requires="wps">
            <w:drawing>
              <wp:anchor distT="0" distB="0" distL="114300" distR="114300" simplePos="0" relativeHeight="251660288" behindDoc="0" locked="0" layoutInCell="1" allowOverlap="1" wp14:anchorId="6C37E61E" wp14:editId="3783F43A">
                <wp:simplePos x="0" y="0"/>
                <wp:positionH relativeFrom="column">
                  <wp:posOffset>-635</wp:posOffset>
                </wp:positionH>
                <wp:positionV relativeFrom="paragraph">
                  <wp:posOffset>2339340</wp:posOffset>
                </wp:positionV>
                <wp:extent cx="6120130" cy="0"/>
                <wp:effectExtent l="0" t="0" r="0" b="0"/>
                <wp:wrapNone/>
                <wp:docPr id="1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23" o:spid="_x0000_s1026" o:spt="20" style="position:absolute;left:0pt;margin-left:-0.05pt;margin-top:184.2pt;height:0pt;width:481.9pt;z-index:251660288;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AXW8AjXAAAACQEAAA8AAAAAAAAAAQAgAAAAIgAAAGRycy9k&#10;b3ducmV2LnhtbFBLAQIUABQAAAAIAIdO4kDyhFWAygEAAKEDAAAOAAAAAAAAAAEAIAAAACYBAABk&#10;cnMvZTJvRG9jLnhtbFBLBQYAAAAABgAGAFkBAABiBQAAAAA=&#10;">
                <v:fill on="f" focussize="0,0"/>
                <v:stroke color="#000000" joinstyle="round"/>
                <v:imagedata o:title=""/>
                <o:lock v:ext="edit" aspectratio="f"/>
              </v:line>
            </w:pict>
          </mc:Fallback>
        </mc:AlternateContent>
      </w:r>
    </w:p>
    <w:bookmarkStart w:id="8" w:name="_Hlk181104980" w:displacedByCustomXml="next"/>
    <w:bookmarkStart w:id="9" w:name="_Toc488570497" w:displacedByCustomXml="next"/>
    <w:sdt>
      <w:sdtPr>
        <w:rPr>
          <w:rFonts w:ascii="Times New Roman" w:eastAsia="宋体" w:hAnsi="Times New Roman" w:cs="Times New Roman"/>
          <w:color w:val="auto"/>
          <w:kern w:val="2"/>
          <w:sz w:val="21"/>
          <w:szCs w:val="24"/>
          <w:lang w:val="zh-CN"/>
        </w:rPr>
        <w:id w:val="-346476417"/>
        <w:docPartObj>
          <w:docPartGallery w:val="Table of Contents"/>
          <w:docPartUnique/>
        </w:docPartObj>
      </w:sdtPr>
      <w:sdtEndPr>
        <w:rPr>
          <w:b/>
          <w:bCs/>
        </w:rPr>
      </w:sdtEndPr>
      <w:sdtContent>
        <w:p w14:paraId="4399FC65" w14:textId="77777777" w:rsidR="00B37F7F" w:rsidRDefault="00000000">
          <w:pPr>
            <w:pStyle w:val="TOC10"/>
            <w:spacing w:before="480" w:afterLines="100" w:after="312"/>
            <w:jc w:val="center"/>
            <w:rPr>
              <w:rFonts w:ascii="黑体" w:eastAsia="黑体" w:hAnsi="黑体" w:hint="eastAsia"/>
              <w:color w:val="auto"/>
            </w:rPr>
          </w:pPr>
          <w:r>
            <w:rPr>
              <w:rFonts w:ascii="黑体" w:eastAsia="黑体" w:hAnsi="黑体" w:hint="eastAsia"/>
              <w:color w:val="auto"/>
              <w:lang w:val="zh-CN"/>
            </w:rPr>
            <w:t>目</w:t>
          </w:r>
          <w:r>
            <w:rPr>
              <w:rFonts w:ascii="黑体" w:eastAsia="黑体" w:hAnsi="黑体"/>
              <w:color w:val="auto"/>
              <w:lang w:val="zh-CN"/>
            </w:rPr>
            <w:t xml:space="preserve">  </w:t>
          </w:r>
          <w:r>
            <w:rPr>
              <w:rFonts w:ascii="黑体" w:eastAsia="黑体" w:hAnsi="黑体" w:hint="eastAsia"/>
              <w:color w:val="auto"/>
              <w:lang w:val="zh-CN"/>
            </w:rPr>
            <w:t>次</w:t>
          </w:r>
        </w:p>
        <w:p w14:paraId="05749233" w14:textId="77777777" w:rsidR="00B37F7F" w:rsidRDefault="00000000">
          <w:pPr>
            <w:pStyle w:val="TOC1"/>
            <w:spacing w:before="78" w:after="78"/>
            <w:rPr>
              <w:rFonts w:asciiTheme="minorEastAsia" w:eastAsiaTheme="minorEastAsia" w:hAnsiTheme="minorEastAsia" w:cstheme="minorBidi" w:hint="eastAsia"/>
              <w:szCs w:val="22"/>
              <w14:ligatures w14:val="standardContextual"/>
            </w:rPr>
          </w:pPr>
          <w:r>
            <w:fldChar w:fldCharType="begin"/>
          </w:r>
          <w:r>
            <w:instrText xml:space="preserve"> TOC \o "1-3" \h \z \u </w:instrText>
          </w:r>
          <w:r>
            <w:fldChar w:fldCharType="separate"/>
          </w:r>
          <w:hyperlink w:anchor="_Toc175868209" w:history="1">
            <w:r>
              <w:rPr>
                <w:rStyle w:val="afffa"/>
                <w:rFonts w:asciiTheme="minorEastAsia" w:eastAsiaTheme="minorEastAsia" w:hAnsiTheme="minorEastAsia" w:hint="eastAsia"/>
                <w:color w:val="auto"/>
              </w:rPr>
              <w:t>前言</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_Toc175868209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hint="eastAsia"/>
              </w:rPr>
              <w:t>II</w:t>
            </w:r>
            <w:r>
              <w:rPr>
                <w:rFonts w:asciiTheme="minorEastAsia" w:eastAsiaTheme="minorEastAsia" w:hAnsiTheme="minorEastAsia"/>
              </w:rPr>
              <w:fldChar w:fldCharType="end"/>
            </w:r>
          </w:hyperlink>
        </w:p>
        <w:p w14:paraId="64196A65" w14:textId="77777777" w:rsidR="00B37F7F" w:rsidRDefault="00000000">
          <w:pPr>
            <w:pStyle w:val="TOC2"/>
            <w:rPr>
              <w:rFonts w:asciiTheme="minorEastAsia" w:eastAsiaTheme="minorEastAsia" w:hAnsiTheme="minorEastAsia" w:cstheme="minorBidi" w:hint="eastAsia"/>
              <w:szCs w:val="22"/>
              <w14:ligatures w14:val="standardContextual"/>
            </w:rPr>
          </w:pPr>
          <w:hyperlink w:anchor="_Toc175868210" w:history="1">
            <w:r>
              <w:rPr>
                <w:rStyle w:val="afffa"/>
                <w:rFonts w:asciiTheme="minorEastAsia" w:eastAsiaTheme="minorEastAsia" w:hAnsiTheme="minorEastAsia"/>
                <w:color w:val="auto"/>
              </w:rPr>
              <w:t xml:space="preserve">1 </w:t>
            </w:r>
            <w:r>
              <w:rPr>
                <w:rStyle w:val="afffa"/>
                <w:rFonts w:asciiTheme="minorEastAsia" w:eastAsiaTheme="minorEastAsia" w:hAnsiTheme="minorEastAsia" w:hint="eastAsia"/>
                <w:color w:val="auto"/>
              </w:rPr>
              <w:t>范围</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_Toc175868210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hint="eastAsia"/>
              </w:rPr>
              <w:t>1</w:t>
            </w:r>
            <w:r>
              <w:rPr>
                <w:rFonts w:asciiTheme="minorEastAsia" w:eastAsiaTheme="minorEastAsia" w:hAnsiTheme="minorEastAsia"/>
              </w:rPr>
              <w:fldChar w:fldCharType="end"/>
            </w:r>
          </w:hyperlink>
        </w:p>
        <w:p w14:paraId="3E13838D" w14:textId="77777777" w:rsidR="00B37F7F" w:rsidRDefault="00000000">
          <w:pPr>
            <w:pStyle w:val="TOC2"/>
            <w:rPr>
              <w:rFonts w:asciiTheme="minorEastAsia" w:eastAsiaTheme="minorEastAsia" w:hAnsiTheme="minorEastAsia" w:cstheme="minorBidi" w:hint="eastAsia"/>
              <w:szCs w:val="22"/>
              <w14:ligatures w14:val="standardContextual"/>
            </w:rPr>
          </w:pPr>
          <w:hyperlink w:anchor="_Toc175868211" w:history="1">
            <w:r>
              <w:rPr>
                <w:rStyle w:val="afffa"/>
                <w:rFonts w:asciiTheme="minorEastAsia" w:eastAsiaTheme="minorEastAsia" w:hAnsiTheme="minorEastAsia"/>
                <w:color w:val="auto"/>
              </w:rPr>
              <w:t xml:space="preserve">2 </w:t>
            </w:r>
            <w:r>
              <w:rPr>
                <w:rStyle w:val="afffa"/>
                <w:rFonts w:asciiTheme="minorEastAsia" w:eastAsiaTheme="minorEastAsia" w:hAnsiTheme="minorEastAsia" w:hint="eastAsia"/>
                <w:color w:val="auto"/>
              </w:rPr>
              <w:t>规范性引用文件</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_Toc175868211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hint="eastAsia"/>
              </w:rPr>
              <w:t>1</w:t>
            </w:r>
            <w:r>
              <w:rPr>
                <w:rFonts w:asciiTheme="minorEastAsia" w:eastAsiaTheme="minorEastAsia" w:hAnsiTheme="minorEastAsia"/>
              </w:rPr>
              <w:fldChar w:fldCharType="end"/>
            </w:r>
          </w:hyperlink>
        </w:p>
        <w:p w14:paraId="0DAA906B" w14:textId="77777777" w:rsidR="00B37F7F" w:rsidRDefault="00000000">
          <w:pPr>
            <w:pStyle w:val="TOC2"/>
            <w:rPr>
              <w:rFonts w:asciiTheme="minorEastAsia" w:eastAsiaTheme="minorEastAsia" w:hAnsiTheme="minorEastAsia" w:cstheme="minorBidi" w:hint="eastAsia"/>
              <w:szCs w:val="22"/>
              <w14:ligatures w14:val="standardContextual"/>
            </w:rPr>
          </w:pPr>
          <w:hyperlink w:anchor="_Toc175868212" w:history="1">
            <w:r>
              <w:rPr>
                <w:rStyle w:val="afffa"/>
                <w:rFonts w:asciiTheme="minorEastAsia" w:eastAsiaTheme="minorEastAsia" w:hAnsiTheme="minorEastAsia"/>
                <w:color w:val="auto"/>
              </w:rPr>
              <w:t xml:space="preserve">3 </w:t>
            </w:r>
            <w:r>
              <w:rPr>
                <w:rStyle w:val="afffa"/>
                <w:rFonts w:asciiTheme="minorEastAsia" w:eastAsiaTheme="minorEastAsia" w:hAnsiTheme="minorEastAsia" w:hint="eastAsia"/>
                <w:color w:val="auto"/>
              </w:rPr>
              <w:t>术语与定义</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_Toc175868212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hint="eastAsia"/>
              </w:rPr>
              <w:t>1</w:t>
            </w:r>
            <w:r>
              <w:rPr>
                <w:rFonts w:asciiTheme="minorEastAsia" w:eastAsiaTheme="minorEastAsia" w:hAnsiTheme="minorEastAsia"/>
              </w:rPr>
              <w:fldChar w:fldCharType="end"/>
            </w:r>
          </w:hyperlink>
        </w:p>
        <w:p w14:paraId="63730454" w14:textId="77777777" w:rsidR="00B37F7F" w:rsidRDefault="00000000">
          <w:pPr>
            <w:pStyle w:val="TOC2"/>
            <w:rPr>
              <w:rFonts w:asciiTheme="minorEastAsia" w:eastAsiaTheme="minorEastAsia" w:hAnsiTheme="minorEastAsia" w:cstheme="minorBidi" w:hint="eastAsia"/>
              <w:szCs w:val="22"/>
              <w14:ligatures w14:val="standardContextual"/>
            </w:rPr>
          </w:pPr>
          <w:hyperlink w:anchor="_Toc175868213" w:history="1">
            <w:r>
              <w:rPr>
                <w:rStyle w:val="afffa"/>
                <w:rFonts w:asciiTheme="minorEastAsia" w:eastAsiaTheme="minorEastAsia" w:hAnsiTheme="minorEastAsia"/>
                <w:color w:val="auto"/>
              </w:rPr>
              <w:t xml:space="preserve">4 </w:t>
            </w:r>
            <w:r>
              <w:rPr>
                <w:rStyle w:val="afffa"/>
                <w:rFonts w:asciiTheme="minorEastAsia" w:eastAsiaTheme="minorEastAsia" w:hAnsiTheme="minorEastAsia" w:hint="eastAsia"/>
                <w:color w:val="auto"/>
              </w:rPr>
              <w:t>血站血液检测实验室质量监测指标的制定和应用原则</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_Toc175868213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hint="eastAsia"/>
              </w:rPr>
              <w:t>3</w:t>
            </w:r>
            <w:r>
              <w:rPr>
                <w:rFonts w:asciiTheme="minorEastAsia" w:eastAsiaTheme="minorEastAsia" w:hAnsiTheme="minorEastAsia"/>
              </w:rPr>
              <w:fldChar w:fldCharType="end"/>
            </w:r>
          </w:hyperlink>
        </w:p>
        <w:p w14:paraId="4E79F1D7" w14:textId="77777777" w:rsidR="00B37F7F" w:rsidRDefault="00000000">
          <w:pPr>
            <w:pStyle w:val="TOC2"/>
            <w:rPr>
              <w:rFonts w:asciiTheme="minorEastAsia" w:eastAsiaTheme="minorEastAsia" w:hAnsiTheme="minorEastAsia" w:cstheme="minorBidi" w:hint="eastAsia"/>
              <w:szCs w:val="22"/>
              <w14:ligatures w14:val="standardContextual"/>
            </w:rPr>
          </w:pPr>
          <w:hyperlink w:anchor="_Toc175868214" w:history="1">
            <w:r>
              <w:rPr>
                <w:rStyle w:val="afffa"/>
                <w:rFonts w:asciiTheme="minorEastAsia" w:eastAsiaTheme="minorEastAsia" w:hAnsiTheme="minorEastAsia"/>
                <w:color w:val="auto"/>
              </w:rPr>
              <w:t xml:space="preserve">5 </w:t>
            </w:r>
            <w:r>
              <w:rPr>
                <w:rStyle w:val="afffa"/>
                <w:rFonts w:asciiTheme="minorEastAsia" w:eastAsiaTheme="minorEastAsia" w:hAnsiTheme="minorEastAsia" w:hint="eastAsia"/>
                <w:color w:val="auto"/>
              </w:rPr>
              <w:t>血站血液检测实验室质量监测指标</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_Toc175868214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hint="eastAsia"/>
              </w:rPr>
              <w:t>3</w:t>
            </w:r>
            <w:r>
              <w:rPr>
                <w:rFonts w:asciiTheme="minorEastAsia" w:eastAsiaTheme="minorEastAsia" w:hAnsiTheme="minorEastAsia"/>
              </w:rPr>
              <w:fldChar w:fldCharType="end"/>
            </w:r>
          </w:hyperlink>
        </w:p>
        <w:p w14:paraId="373FB174" w14:textId="77777777" w:rsidR="00B37F7F" w:rsidRDefault="00000000">
          <w:pPr>
            <w:pStyle w:val="TOC1"/>
            <w:spacing w:before="78" w:after="78"/>
            <w:rPr>
              <w:rFonts w:asciiTheme="minorHAnsi" w:eastAsiaTheme="minorEastAsia" w:hAnsiTheme="minorHAnsi" w:cstheme="minorBidi"/>
              <w:szCs w:val="22"/>
              <w14:ligatures w14:val="standardContextual"/>
            </w:rPr>
          </w:pPr>
          <w:hyperlink w:anchor="_Toc175868215" w:history="1">
            <w:r>
              <w:rPr>
                <w:rStyle w:val="afffa"/>
                <w:rFonts w:asciiTheme="minorEastAsia" w:eastAsiaTheme="minorEastAsia" w:hAnsiTheme="minorEastAsia" w:hint="eastAsia"/>
                <w:color w:val="auto"/>
              </w:rPr>
              <w:t>参考文献</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_Toc175868215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hint="eastAsia"/>
              </w:rPr>
              <w:t>12</w:t>
            </w:r>
            <w:r>
              <w:rPr>
                <w:rFonts w:asciiTheme="minorEastAsia" w:eastAsiaTheme="minorEastAsia" w:hAnsiTheme="minorEastAsia"/>
              </w:rPr>
              <w:fldChar w:fldCharType="end"/>
            </w:r>
          </w:hyperlink>
        </w:p>
        <w:p w14:paraId="21877BA5" w14:textId="77777777" w:rsidR="00B37F7F" w:rsidRDefault="00000000">
          <w:pPr>
            <w:sectPr w:rsidR="00B37F7F">
              <w:headerReference w:type="first" r:id="rId13"/>
              <w:footerReference w:type="first" r:id="rId14"/>
              <w:pgSz w:w="11906" w:h="16838"/>
              <w:pgMar w:top="1440" w:right="1800" w:bottom="1440" w:left="1800" w:header="850" w:footer="850" w:gutter="0"/>
              <w:pgNumType w:fmt="upperRoman" w:start="1"/>
              <w:cols w:space="425"/>
              <w:formProt w:val="0"/>
              <w:titlePg/>
              <w:docGrid w:type="lines" w:linePitch="312"/>
            </w:sectPr>
          </w:pPr>
          <w:r>
            <w:rPr>
              <w:b/>
              <w:bCs/>
              <w:lang w:val="zh-CN"/>
            </w:rPr>
            <w:fldChar w:fldCharType="end"/>
          </w:r>
        </w:p>
      </w:sdtContent>
    </w:sdt>
    <w:p w14:paraId="659F2DE0" w14:textId="77777777" w:rsidR="00B37F7F" w:rsidRDefault="00000000">
      <w:pPr>
        <w:pStyle w:val="affffff4"/>
      </w:pPr>
      <w:bookmarkStart w:id="10" w:name="_Toc175865701"/>
      <w:bookmarkStart w:id="11" w:name="_Toc175868209"/>
      <w:r>
        <w:rPr>
          <w:rFonts w:hint="eastAsia"/>
        </w:rPr>
        <w:lastRenderedPageBreak/>
        <w:t>前</w:t>
      </w:r>
      <w:r>
        <w:rPr>
          <w:rFonts w:ascii="MS Mincho" w:eastAsia="MS Mincho" w:hAnsi="MS Mincho" w:cs="MS Mincho" w:hint="eastAsia"/>
        </w:rPr>
        <w:t>  </w:t>
      </w:r>
      <w:r>
        <w:rPr>
          <w:rFonts w:hint="eastAsia"/>
        </w:rPr>
        <w:t>言</w:t>
      </w:r>
      <w:bookmarkEnd w:id="10"/>
      <w:bookmarkEnd w:id="11"/>
    </w:p>
    <w:p w14:paraId="26AFC869" w14:textId="77777777" w:rsidR="00B37F7F" w:rsidRDefault="00000000">
      <w:pPr>
        <w:pStyle w:val="afff"/>
      </w:pPr>
      <w:bookmarkStart w:id="12" w:name="OLE_LINK2"/>
      <w:r>
        <w:rPr>
          <w:rFonts w:hint="eastAsia"/>
        </w:rPr>
        <w:t>本标准</w:t>
      </w:r>
      <w:bookmarkEnd w:id="12"/>
      <w:r>
        <w:rPr>
          <w:rFonts w:hint="eastAsia"/>
        </w:rPr>
        <w:t>按照 GB/ T 1.1-</w:t>
      </w:r>
      <w:r>
        <w:t>2020</w:t>
      </w:r>
      <w:r>
        <w:rPr>
          <w:rFonts w:hint="eastAsia"/>
        </w:rPr>
        <w:t xml:space="preserve"> 给出的规则起草。</w:t>
      </w:r>
    </w:p>
    <w:p w14:paraId="40A83C69" w14:textId="77777777" w:rsidR="00B37F7F" w:rsidRDefault="00000000">
      <w:pPr>
        <w:pStyle w:val="afff"/>
      </w:pPr>
      <w:r>
        <w:t>本标准代替T/CSBT</w:t>
      </w:r>
      <w:r>
        <w:rPr>
          <w:rFonts w:hint="eastAsia"/>
        </w:rPr>
        <w:t xml:space="preserve"> </w:t>
      </w:r>
      <w:r>
        <w:t>004</w:t>
      </w:r>
      <w:r>
        <w:t>—</w:t>
      </w:r>
      <w:r>
        <w:t>20</w:t>
      </w:r>
      <w:r>
        <w:rPr>
          <w:rFonts w:hint="eastAsia"/>
        </w:rPr>
        <w:t>19</w:t>
      </w:r>
      <w:r>
        <w:t>《血站血液检测实验室质量监测指标》，与T/CSBT 004</w:t>
      </w:r>
      <w:r>
        <w:t>—</w:t>
      </w:r>
      <w:r>
        <w:t xml:space="preserve">2019相比，主要技术变化如下： </w:t>
      </w:r>
    </w:p>
    <w:p w14:paraId="112260F0" w14:textId="58F8253E" w:rsidR="00B37F7F" w:rsidRDefault="00000000">
      <w:pPr>
        <w:pStyle w:val="afff"/>
      </w:pPr>
      <w:r>
        <w:t>——</w:t>
      </w:r>
      <w:r>
        <w:rPr>
          <w:rFonts w:hint="eastAsia"/>
        </w:rPr>
        <w:t>调整标准结构，</w:t>
      </w:r>
      <w:r>
        <w:t>增加规范性引用文件</w:t>
      </w:r>
      <w:r w:rsidR="0067339B">
        <w:rPr>
          <w:rFonts w:hint="eastAsia"/>
        </w:rPr>
        <w:t>(见2)</w:t>
      </w:r>
      <w:r>
        <w:t xml:space="preserve">； </w:t>
      </w:r>
    </w:p>
    <w:p w14:paraId="6EED9407" w14:textId="2AEE0C49" w:rsidR="00B37F7F" w:rsidRDefault="00000000">
      <w:pPr>
        <w:pStyle w:val="afff"/>
        <w:ind w:leftChars="204" w:left="850" w:hangingChars="201" w:hanging="422"/>
      </w:pPr>
      <w:r>
        <w:t>——</w:t>
      </w:r>
      <w:r>
        <w:t>增加</w:t>
      </w:r>
      <w:r>
        <w:rPr>
          <w:rFonts w:hint="eastAsia"/>
        </w:rPr>
        <w:t>单病毒</w:t>
      </w:r>
      <w:r>
        <w:t>NAT、</w:t>
      </w:r>
      <w:r>
        <w:rPr>
          <w:rFonts w:hint="eastAsia"/>
        </w:rPr>
        <w:t>NAT单人份检测的术语与定义</w:t>
      </w:r>
      <w:r w:rsidR="0067339B">
        <w:rPr>
          <w:rFonts w:hint="eastAsia"/>
        </w:rPr>
        <w:t>（见3.8、3.9）</w:t>
      </w:r>
      <w:r>
        <w:t xml:space="preserve">； </w:t>
      </w:r>
    </w:p>
    <w:p w14:paraId="2B54BD44" w14:textId="15113493" w:rsidR="00B37F7F" w:rsidRDefault="00000000">
      <w:pPr>
        <w:pStyle w:val="afff"/>
        <w:ind w:leftChars="204" w:left="850" w:hangingChars="201" w:hanging="422"/>
      </w:pPr>
      <w:r>
        <w:t>——</w:t>
      </w:r>
      <w:r>
        <w:rPr>
          <w:rFonts w:hint="eastAsia"/>
        </w:rPr>
        <w:t>删除</w:t>
      </w:r>
      <w:r>
        <w:t>表5</w:t>
      </w:r>
      <w:r>
        <w:rPr>
          <w:rFonts w:hint="eastAsia"/>
        </w:rPr>
        <w:t>《</w:t>
      </w:r>
      <w:r>
        <w:t>支持过程质量监测指标</w:t>
      </w:r>
      <w:r>
        <w:rPr>
          <w:rFonts w:hint="eastAsia"/>
        </w:rPr>
        <w:t>》中</w:t>
      </w:r>
      <w:r>
        <w:t>(</w:t>
      </w:r>
      <w:r>
        <w:rPr>
          <w:rFonts w:hint="eastAsia"/>
        </w:rPr>
        <w:t>年</w:t>
      </w:r>
      <w:r>
        <w:t>)</w:t>
      </w:r>
      <w:r>
        <w:rPr>
          <w:rFonts w:hint="eastAsia"/>
        </w:rPr>
        <w:t>实验室年人员变动数指标</w:t>
      </w:r>
      <w:r w:rsidR="0067339B">
        <w:rPr>
          <w:rFonts w:hint="eastAsia"/>
          <w:lang w:val="zh-CN"/>
        </w:rPr>
        <w:t>（见</w:t>
      </w:r>
      <w:r w:rsidR="0067339B">
        <w:rPr>
          <w:lang w:val="zh-CN"/>
        </w:rPr>
        <w:t>201</w:t>
      </w:r>
      <w:r w:rsidR="0067339B">
        <w:rPr>
          <w:rFonts w:hint="eastAsia"/>
          <w:lang w:val="zh-CN"/>
        </w:rPr>
        <w:t>9年版的表5）</w:t>
      </w:r>
      <w:r>
        <w:t>；</w:t>
      </w:r>
    </w:p>
    <w:p w14:paraId="6CEDA2C1" w14:textId="0CA28766" w:rsidR="00B37F7F" w:rsidRDefault="00000000">
      <w:pPr>
        <w:pStyle w:val="afff"/>
        <w:ind w:leftChars="204" w:left="850" w:hangingChars="201" w:hanging="422"/>
      </w:pPr>
      <w:r>
        <w:t>——</w:t>
      </w:r>
      <w:r>
        <w:rPr>
          <w:rFonts w:hint="eastAsia"/>
        </w:rPr>
        <w:t>修订标题、</w:t>
      </w:r>
      <w:r>
        <w:t>术语和定义中血站</w:t>
      </w:r>
      <w:r>
        <w:rPr>
          <w:rFonts w:hint="eastAsia"/>
        </w:rPr>
        <w:t>、</w:t>
      </w:r>
      <w:r>
        <w:t>血液检测</w:t>
      </w:r>
      <w:r>
        <w:rPr>
          <w:rFonts w:hint="eastAsia"/>
        </w:rPr>
        <w:t>、</w:t>
      </w:r>
      <w:r>
        <w:t>血液检测实验室</w:t>
      </w:r>
      <w:r>
        <w:rPr>
          <w:rFonts w:hint="eastAsia"/>
        </w:rPr>
        <w:t>、血液检测全过程的英文翻译</w:t>
      </w:r>
      <w:r w:rsidR="0067339B">
        <w:rPr>
          <w:rFonts w:hint="eastAsia"/>
          <w:lang w:val="zh-CN"/>
        </w:rPr>
        <w:t>（见标题、3.2、3.3、3.4</w:t>
      </w:r>
      <w:r w:rsidR="00104981">
        <w:rPr>
          <w:rFonts w:hint="eastAsia"/>
          <w:lang w:val="zh-CN"/>
        </w:rPr>
        <w:t>，见</w:t>
      </w:r>
      <w:r w:rsidR="00104981">
        <w:rPr>
          <w:lang w:val="zh-CN"/>
        </w:rPr>
        <w:t>201</w:t>
      </w:r>
      <w:r w:rsidR="00104981">
        <w:rPr>
          <w:rFonts w:hint="eastAsia"/>
          <w:lang w:val="zh-CN"/>
        </w:rPr>
        <w:t>9年版的</w:t>
      </w:r>
      <w:r w:rsidR="004B2A80">
        <w:rPr>
          <w:rFonts w:hint="eastAsia"/>
          <w:lang w:val="zh-CN"/>
        </w:rPr>
        <w:t>标题、</w:t>
      </w:r>
      <w:r w:rsidR="00104981">
        <w:rPr>
          <w:rFonts w:hint="eastAsia"/>
          <w:lang w:val="zh-CN"/>
        </w:rPr>
        <w:t>2.2、2.3、2.4</w:t>
      </w:r>
      <w:r w:rsidR="0067339B">
        <w:rPr>
          <w:rFonts w:hint="eastAsia"/>
          <w:lang w:val="zh-CN"/>
        </w:rPr>
        <w:t>）</w:t>
      </w:r>
      <w:r>
        <w:t xml:space="preserve">； </w:t>
      </w:r>
    </w:p>
    <w:p w14:paraId="7389CA22" w14:textId="77770559" w:rsidR="00B37F7F" w:rsidRDefault="00000000" w:rsidP="00772E0B">
      <w:pPr>
        <w:pStyle w:val="afff"/>
        <w:ind w:leftChars="200" w:left="840" w:hangingChars="200" w:hanging="420"/>
      </w:pPr>
      <w:r>
        <w:t>——</w:t>
      </w:r>
      <w:r>
        <w:rPr>
          <w:rFonts w:hint="eastAsia"/>
        </w:rPr>
        <w:t>修订</w:t>
      </w:r>
      <w:r w:rsidR="003526DC">
        <w:rPr>
          <w:rFonts w:hint="eastAsia"/>
        </w:rPr>
        <w:t>核酸检测、</w:t>
      </w:r>
      <w:r>
        <w:t>NAT联检</w:t>
      </w:r>
      <w:r>
        <w:rPr>
          <w:rFonts w:hint="eastAsia"/>
        </w:rPr>
        <w:t>、</w:t>
      </w:r>
      <w:r>
        <w:t>NAT拆分</w:t>
      </w:r>
      <w:r>
        <w:rPr>
          <w:rFonts w:hint="eastAsia"/>
        </w:rPr>
        <w:t>、</w:t>
      </w:r>
      <w:r>
        <w:t>NAT鉴别</w:t>
      </w:r>
      <w:r>
        <w:rPr>
          <w:rFonts w:hint="eastAsia"/>
        </w:rPr>
        <w:t>的定义</w:t>
      </w:r>
      <w:r w:rsidR="0067339B">
        <w:rPr>
          <w:rFonts w:hint="eastAsia"/>
          <w:lang w:val="zh-CN"/>
        </w:rPr>
        <w:t>（见</w:t>
      </w:r>
      <w:r w:rsidR="003526DC">
        <w:rPr>
          <w:rFonts w:hint="eastAsia"/>
          <w:lang w:val="zh-CN"/>
        </w:rPr>
        <w:t>3.6、3.7、</w:t>
      </w:r>
      <w:r w:rsidR="0067339B">
        <w:rPr>
          <w:rFonts w:hint="eastAsia"/>
          <w:lang w:val="zh-CN"/>
        </w:rPr>
        <w:t>3.11、3.12</w:t>
      </w:r>
      <w:r w:rsidR="00104981">
        <w:rPr>
          <w:rFonts w:hint="eastAsia"/>
          <w:lang w:val="zh-CN"/>
        </w:rPr>
        <w:t>，见</w:t>
      </w:r>
      <w:r w:rsidR="00104981">
        <w:rPr>
          <w:lang w:val="zh-CN"/>
        </w:rPr>
        <w:t>201</w:t>
      </w:r>
      <w:r w:rsidR="00104981">
        <w:rPr>
          <w:rFonts w:hint="eastAsia"/>
          <w:lang w:val="zh-CN"/>
        </w:rPr>
        <w:t>9年版的</w:t>
      </w:r>
      <w:r w:rsidR="00D22289">
        <w:rPr>
          <w:rFonts w:hint="eastAsia"/>
          <w:lang w:val="zh-CN"/>
        </w:rPr>
        <w:t>2.6</w:t>
      </w:r>
      <w:r w:rsidR="003526DC">
        <w:rPr>
          <w:rFonts w:hint="eastAsia"/>
          <w:lang w:val="zh-CN"/>
        </w:rPr>
        <w:t>、2.7、</w:t>
      </w:r>
      <w:r w:rsidR="00104981">
        <w:rPr>
          <w:rFonts w:hint="eastAsia"/>
          <w:lang w:val="zh-CN"/>
        </w:rPr>
        <w:t>2.9、2.10</w:t>
      </w:r>
      <w:r w:rsidR="0067339B">
        <w:rPr>
          <w:rFonts w:hint="eastAsia"/>
          <w:lang w:val="zh-CN"/>
        </w:rPr>
        <w:t>）</w:t>
      </w:r>
      <w:r>
        <w:t>；</w:t>
      </w:r>
    </w:p>
    <w:p w14:paraId="081C7CA8" w14:textId="3C3D7D80" w:rsidR="00B37F7F" w:rsidRDefault="00000000">
      <w:pPr>
        <w:pStyle w:val="afff"/>
      </w:pPr>
      <w:r>
        <w:t>——</w:t>
      </w:r>
      <w:r>
        <w:rPr>
          <w:rFonts w:hint="eastAsia"/>
        </w:rPr>
        <w:t>修订</w:t>
      </w:r>
      <w:r>
        <w:t>质量监测指标的制定原则</w:t>
      </w:r>
      <w:r>
        <w:rPr>
          <w:rFonts w:hint="eastAsia"/>
        </w:rPr>
        <w:t>有关内容</w:t>
      </w:r>
      <w:r w:rsidR="0067339B">
        <w:rPr>
          <w:rFonts w:hint="eastAsia"/>
        </w:rPr>
        <w:t>(见4.1</w:t>
      </w:r>
      <w:r w:rsidR="00104981">
        <w:rPr>
          <w:rFonts w:hint="eastAsia"/>
        </w:rPr>
        <w:t>，见</w:t>
      </w:r>
      <w:r w:rsidR="00104981">
        <w:rPr>
          <w:lang w:val="zh-CN"/>
        </w:rPr>
        <w:t>201</w:t>
      </w:r>
      <w:r w:rsidR="00104981">
        <w:rPr>
          <w:rFonts w:hint="eastAsia"/>
          <w:lang w:val="zh-CN"/>
        </w:rPr>
        <w:t>9年版的3.1</w:t>
      </w:r>
      <w:r w:rsidR="0067339B">
        <w:rPr>
          <w:rFonts w:hint="eastAsia"/>
        </w:rPr>
        <w:t>)</w:t>
      </w:r>
      <w:r>
        <w:rPr>
          <w:rFonts w:hint="eastAsia"/>
        </w:rPr>
        <w:t>；</w:t>
      </w:r>
    </w:p>
    <w:p w14:paraId="47E6E7B6" w14:textId="271BA04B" w:rsidR="00B37F7F" w:rsidRDefault="00000000">
      <w:pPr>
        <w:pStyle w:val="afff"/>
      </w:pPr>
      <w:r>
        <w:t>——</w:t>
      </w:r>
      <w:r>
        <w:rPr>
          <w:rFonts w:hint="eastAsia"/>
        </w:rPr>
        <w:t>修订</w:t>
      </w:r>
      <w:r>
        <w:t>表1</w:t>
      </w:r>
      <w:r>
        <w:rPr>
          <w:rFonts w:hint="eastAsia"/>
        </w:rPr>
        <w:t>《</w:t>
      </w:r>
      <w:r>
        <w:t>总体质量监测指标</w:t>
      </w:r>
      <w:bookmarkStart w:id="13" w:name="OLE_LINK9"/>
      <w:r>
        <w:rPr>
          <w:rFonts w:hint="eastAsia"/>
        </w:rPr>
        <w:t>》</w:t>
      </w:r>
      <w:bookmarkStart w:id="14" w:name="OLE_LINK10"/>
      <w:bookmarkEnd w:id="13"/>
      <w:r>
        <w:rPr>
          <w:rFonts w:hint="eastAsia"/>
        </w:rPr>
        <w:t>指标解释相关内容</w:t>
      </w:r>
      <w:bookmarkEnd w:id="14"/>
      <w:r w:rsidR="0067339B">
        <w:rPr>
          <w:rFonts w:hint="eastAsia"/>
          <w:lang w:val="zh-CN"/>
        </w:rPr>
        <w:t>（见表1）</w:t>
      </w:r>
      <w:r>
        <w:t>；</w:t>
      </w:r>
    </w:p>
    <w:p w14:paraId="0054112E" w14:textId="7F11EC60" w:rsidR="00B37F7F" w:rsidRDefault="00000000">
      <w:pPr>
        <w:pStyle w:val="afff"/>
      </w:pPr>
      <w:r>
        <w:t>——</w:t>
      </w:r>
      <w:r>
        <w:rPr>
          <w:rFonts w:hint="eastAsia"/>
        </w:rPr>
        <w:t>修订</w:t>
      </w:r>
      <w:r>
        <w:t>表2</w:t>
      </w:r>
      <w:r>
        <w:rPr>
          <w:rFonts w:hint="eastAsia"/>
        </w:rPr>
        <w:t>《</w:t>
      </w:r>
      <w:r>
        <w:t>检测前质量监测指标</w:t>
      </w:r>
      <w:r>
        <w:rPr>
          <w:rFonts w:hint="eastAsia"/>
        </w:rPr>
        <w:t>》指标解释相关内容</w:t>
      </w:r>
      <w:r w:rsidR="0067339B">
        <w:rPr>
          <w:rFonts w:hint="eastAsia"/>
          <w:lang w:val="zh-CN"/>
        </w:rPr>
        <w:t>（见表2）</w:t>
      </w:r>
      <w:r>
        <w:t>；</w:t>
      </w:r>
    </w:p>
    <w:p w14:paraId="3423BFF1" w14:textId="7548B031" w:rsidR="00B37F7F" w:rsidRDefault="00000000">
      <w:pPr>
        <w:pStyle w:val="afff"/>
      </w:pPr>
      <w:r>
        <w:t>——</w:t>
      </w:r>
      <w:r>
        <w:rPr>
          <w:rFonts w:hint="eastAsia"/>
        </w:rPr>
        <w:t>修订</w:t>
      </w:r>
      <w:r>
        <w:t>表3</w:t>
      </w:r>
      <w:r>
        <w:rPr>
          <w:rFonts w:hint="eastAsia"/>
        </w:rPr>
        <w:t>《</w:t>
      </w:r>
      <w:r>
        <w:t>检测中质量监测指标</w:t>
      </w:r>
      <w:r>
        <w:rPr>
          <w:rFonts w:hint="eastAsia"/>
        </w:rPr>
        <w:t>》指标解释相关内容</w:t>
      </w:r>
      <w:r w:rsidR="0067339B">
        <w:rPr>
          <w:rFonts w:hint="eastAsia"/>
          <w:lang w:val="zh-CN"/>
        </w:rPr>
        <w:t>（见表3）</w:t>
      </w:r>
      <w:r>
        <w:t>；</w:t>
      </w:r>
    </w:p>
    <w:p w14:paraId="40B48123" w14:textId="3CC91E6B" w:rsidR="00103172" w:rsidRDefault="001F665A">
      <w:pPr>
        <w:pStyle w:val="afff"/>
      </w:pPr>
      <w:r>
        <w:t>——</w:t>
      </w:r>
      <w:r>
        <w:rPr>
          <w:rFonts w:hint="eastAsia"/>
        </w:rPr>
        <w:t>修订</w:t>
      </w:r>
      <w:r>
        <w:t>表</w:t>
      </w:r>
      <w:r w:rsidR="00103172">
        <w:rPr>
          <w:rFonts w:hint="eastAsia"/>
        </w:rPr>
        <w:t>4</w:t>
      </w:r>
      <w:r>
        <w:rPr>
          <w:rFonts w:hint="eastAsia"/>
        </w:rPr>
        <w:t>《</w:t>
      </w:r>
      <w:r>
        <w:t>检测</w:t>
      </w:r>
      <w:r w:rsidR="00103172">
        <w:rPr>
          <w:rFonts w:hint="eastAsia"/>
        </w:rPr>
        <w:t>后</w:t>
      </w:r>
      <w:r>
        <w:t>质量监测指标</w:t>
      </w:r>
      <w:r>
        <w:rPr>
          <w:rFonts w:hint="eastAsia"/>
        </w:rPr>
        <w:t>》指标解释相关内容</w:t>
      </w:r>
      <w:r>
        <w:rPr>
          <w:rFonts w:hint="eastAsia"/>
          <w:lang w:val="zh-CN"/>
        </w:rPr>
        <w:t>（见表4）</w:t>
      </w:r>
      <w:r>
        <w:t>；</w:t>
      </w:r>
    </w:p>
    <w:p w14:paraId="5A875D2A" w14:textId="2139C7D9" w:rsidR="00B37F7F" w:rsidRDefault="00000000">
      <w:pPr>
        <w:pStyle w:val="afff"/>
      </w:pPr>
      <w:r>
        <w:t>——</w:t>
      </w:r>
      <w:r>
        <w:rPr>
          <w:rFonts w:hint="eastAsia"/>
        </w:rPr>
        <w:t>修订</w:t>
      </w:r>
      <w:r>
        <w:t>表5</w:t>
      </w:r>
      <w:r>
        <w:rPr>
          <w:rFonts w:hint="eastAsia"/>
        </w:rPr>
        <w:t>《</w:t>
      </w:r>
      <w:r>
        <w:t>支持过程质量监测指标</w:t>
      </w:r>
      <w:r>
        <w:rPr>
          <w:rFonts w:hint="eastAsia"/>
        </w:rPr>
        <w:t>》指标解释相关内容</w:t>
      </w:r>
      <w:r w:rsidR="0067339B">
        <w:rPr>
          <w:rFonts w:hint="eastAsia"/>
          <w:lang w:val="zh-CN"/>
        </w:rPr>
        <w:t>（见表5）</w:t>
      </w:r>
      <w:r>
        <w:t>。</w:t>
      </w:r>
    </w:p>
    <w:p w14:paraId="160DE99B" w14:textId="77777777" w:rsidR="00B37F7F" w:rsidRDefault="00000000">
      <w:pPr>
        <w:pStyle w:val="afff"/>
      </w:pPr>
      <w:r>
        <w:rPr>
          <w:rFonts w:hint="eastAsia"/>
        </w:rPr>
        <w:t>请注意本文件的某些内容可能涉及专利。本文件发布机构不承担识别这些专利的责任。</w:t>
      </w:r>
    </w:p>
    <w:p w14:paraId="2EC78E84" w14:textId="77777777" w:rsidR="00B37F7F" w:rsidRDefault="00000000">
      <w:pPr>
        <w:pStyle w:val="afff"/>
      </w:pPr>
      <w:r>
        <w:rPr>
          <w:rFonts w:hint="eastAsia"/>
        </w:rPr>
        <w:t>本标准由中国输血协会血液质量专业委员会提出。</w:t>
      </w:r>
    </w:p>
    <w:p w14:paraId="38B32210" w14:textId="77777777" w:rsidR="00B37F7F" w:rsidRDefault="00000000">
      <w:pPr>
        <w:pStyle w:val="afff"/>
      </w:pPr>
      <w:r>
        <w:rPr>
          <w:rFonts w:hint="eastAsia"/>
        </w:rPr>
        <w:t>本标准起草单位：北京市红十字血液中心、河北省血液中心、上海市血液中心、北京医院、中国输血协会输血传播疾病专业委员会。</w:t>
      </w:r>
    </w:p>
    <w:p w14:paraId="4B2E9DEC" w14:textId="77777777" w:rsidR="00B37F7F" w:rsidRDefault="00000000">
      <w:pPr>
        <w:pStyle w:val="afff"/>
      </w:pPr>
      <w:r>
        <w:rPr>
          <w:rFonts w:hint="eastAsia"/>
        </w:rPr>
        <w:t>本标准主要起草人：王瑞、刘正敏、韩卫、郑岚、王露楠。</w:t>
      </w:r>
    </w:p>
    <w:p w14:paraId="39220FC3" w14:textId="15D1CD14" w:rsidR="00B37F7F" w:rsidRDefault="00000000">
      <w:pPr>
        <w:pStyle w:val="afff"/>
      </w:pPr>
      <w:r>
        <w:rPr>
          <w:rFonts w:hint="eastAsia"/>
        </w:rPr>
        <w:t>本标准</w:t>
      </w:r>
      <w:r w:rsidR="003F5A6C">
        <w:rPr>
          <w:rFonts w:hint="eastAsia"/>
        </w:rPr>
        <w:t>于2019年首次发布，本次为第一次修订</w:t>
      </w:r>
      <w:r>
        <w:rPr>
          <w:rFonts w:hint="eastAsia"/>
        </w:rPr>
        <w:t>。</w:t>
      </w:r>
    </w:p>
    <w:p w14:paraId="422F8372" w14:textId="77777777" w:rsidR="00652052" w:rsidRDefault="00652052">
      <w:pPr>
        <w:widowControl/>
        <w:jc w:val="left"/>
        <w:rPr>
          <w:rFonts w:ascii="黑体" w:eastAsia="黑体" w:hAnsi="黑体" w:hint="eastAsia"/>
          <w:sz w:val="32"/>
          <w:szCs w:val="32"/>
        </w:rPr>
      </w:pPr>
      <w:bookmarkStart w:id="15" w:name="_Toc175865702"/>
      <w:bookmarkEnd w:id="9"/>
      <w:r>
        <w:rPr>
          <w:rFonts w:ascii="黑体" w:eastAsia="黑体" w:hAnsi="黑体" w:hint="eastAsia"/>
          <w:sz w:val="32"/>
          <w:szCs w:val="32"/>
        </w:rPr>
        <w:br w:type="page"/>
      </w:r>
    </w:p>
    <w:p w14:paraId="332C28ED" w14:textId="7247A91C" w:rsidR="00B37F7F" w:rsidRDefault="00000000">
      <w:pPr>
        <w:spacing w:beforeLines="100" w:before="312" w:afterLines="100" w:after="312"/>
        <w:jc w:val="center"/>
        <w:rPr>
          <w:rFonts w:hAnsi="黑体" w:hint="eastAsia"/>
          <w:szCs w:val="32"/>
        </w:rPr>
      </w:pPr>
      <w:r>
        <w:rPr>
          <w:rFonts w:ascii="黑体" w:eastAsia="黑体" w:hAnsi="黑体" w:hint="eastAsia"/>
          <w:sz w:val="32"/>
          <w:szCs w:val="32"/>
        </w:rPr>
        <w:lastRenderedPageBreak/>
        <w:t>血站血液检测实验室质量监测指标</w:t>
      </w:r>
      <w:bookmarkEnd w:id="15"/>
    </w:p>
    <w:p w14:paraId="402AE08B" w14:textId="77777777" w:rsidR="00B37F7F" w:rsidRDefault="00000000">
      <w:pPr>
        <w:pStyle w:val="a3"/>
        <w:numPr>
          <w:ilvl w:val="0"/>
          <w:numId w:val="17"/>
        </w:numPr>
        <w:spacing w:before="312" w:after="312"/>
        <w:jc w:val="left"/>
      </w:pPr>
      <w:bookmarkStart w:id="16" w:name="_Toc175868210"/>
      <w:bookmarkStart w:id="17" w:name="_Toc175865703"/>
      <w:bookmarkStart w:id="18" w:name="_Hlk181350655"/>
      <w:r>
        <w:rPr>
          <w:rFonts w:hint="eastAsia"/>
        </w:rPr>
        <w:t>范围</w:t>
      </w:r>
      <w:bookmarkEnd w:id="16"/>
      <w:bookmarkEnd w:id="17"/>
    </w:p>
    <w:p w14:paraId="47F5032C" w14:textId="77777777" w:rsidR="00B37F7F" w:rsidRDefault="00000000">
      <w:pPr>
        <w:pStyle w:val="afff"/>
      </w:pPr>
      <w:r>
        <w:rPr>
          <w:rFonts w:hint="eastAsia"/>
        </w:rPr>
        <w:t>本标准规定了一般血站血液检测过程监控和质量改进所需要的质量监测指标，包括质量监测指标的制定原则、意义、解释、数据收集过程和计算方法。</w:t>
      </w:r>
    </w:p>
    <w:p w14:paraId="1D877E30" w14:textId="77777777" w:rsidR="00B37F7F" w:rsidRDefault="00000000">
      <w:pPr>
        <w:pStyle w:val="afff"/>
      </w:pPr>
      <w:r>
        <w:rPr>
          <w:rFonts w:hint="eastAsia"/>
        </w:rPr>
        <w:t>本标准适用于一般血站血液检测实验室（以下简称实验室）检测过程的质量监控和实验室间能力比对和评价。</w:t>
      </w:r>
    </w:p>
    <w:p w14:paraId="7200AAB0" w14:textId="77777777" w:rsidR="00B37F7F" w:rsidRDefault="00000000">
      <w:pPr>
        <w:pStyle w:val="a3"/>
        <w:numPr>
          <w:ilvl w:val="0"/>
          <w:numId w:val="17"/>
        </w:numPr>
        <w:spacing w:before="312" w:after="312"/>
      </w:pPr>
      <w:bookmarkStart w:id="19" w:name="_Toc175868211"/>
      <w:r>
        <w:t>规范性引用文件</w:t>
      </w:r>
      <w:bookmarkEnd w:id="19"/>
    </w:p>
    <w:p w14:paraId="1EA10512" w14:textId="77777777" w:rsidR="00B37F7F" w:rsidRDefault="00000000">
      <w:pPr>
        <w:pStyle w:val="afff"/>
      </w:pPr>
      <w:r>
        <w:t>下列文件对于本文件的应用是必不可少的。凡是注日期的引用文件，仅所注日期的版本适用于本文 件。凡是不注日期的引用文件，其最新版本（包括所有的修改单）适用于本文件。</w:t>
      </w:r>
    </w:p>
    <w:p w14:paraId="224C4301" w14:textId="77777777" w:rsidR="00B37F7F" w:rsidRDefault="00000000">
      <w:pPr>
        <w:pStyle w:val="afff"/>
      </w:pPr>
      <w:r>
        <w:rPr>
          <w:rFonts w:hAnsi="宋体" w:hint="eastAsia"/>
          <w:szCs w:val="21"/>
        </w:rPr>
        <w:t>WS/T 496-2017 临床实验室质量指标</w:t>
      </w:r>
    </w:p>
    <w:p w14:paraId="62B3516E" w14:textId="77777777" w:rsidR="00B37F7F" w:rsidRDefault="00000000">
      <w:pPr>
        <w:pStyle w:val="a3"/>
        <w:numPr>
          <w:ilvl w:val="0"/>
          <w:numId w:val="0"/>
        </w:numPr>
        <w:spacing w:before="312" w:after="312"/>
      </w:pPr>
      <w:bookmarkStart w:id="20" w:name="_Toc175865704"/>
      <w:bookmarkStart w:id="21" w:name="_Toc175868212"/>
      <w:bookmarkStart w:id="22" w:name="_Toc488570499"/>
      <w:r>
        <w:rPr>
          <w:rFonts w:hint="eastAsia"/>
        </w:rPr>
        <w:t>3   术语与定义</w:t>
      </w:r>
      <w:bookmarkEnd w:id="20"/>
      <w:bookmarkEnd w:id="21"/>
      <w:bookmarkEnd w:id="22"/>
    </w:p>
    <w:p w14:paraId="1447E186" w14:textId="77777777" w:rsidR="00B37F7F" w:rsidRDefault="00000000">
      <w:pPr>
        <w:pStyle w:val="afff"/>
      </w:pPr>
      <w:r>
        <w:rPr>
          <w:rFonts w:hint="eastAsia"/>
        </w:rPr>
        <w:t>下列术语和定义适用于本标准。</w:t>
      </w:r>
    </w:p>
    <w:p w14:paraId="24A38F1F" w14:textId="77777777" w:rsidR="00B37F7F" w:rsidRDefault="00000000">
      <w:pPr>
        <w:spacing w:beforeLines="50" w:before="156" w:afterLines="50" w:after="156"/>
        <w:rPr>
          <w:rFonts w:hAnsi="黑体" w:hint="eastAsia"/>
        </w:rPr>
      </w:pPr>
      <w:r>
        <w:rPr>
          <w:rFonts w:ascii="黑体" w:eastAsia="黑体" w:hAnsi="黑体" w:hint="eastAsia"/>
        </w:rPr>
        <w:t>3</w:t>
      </w:r>
      <w:r>
        <w:rPr>
          <w:rFonts w:ascii="黑体" w:eastAsia="黑体" w:hAnsi="黑体"/>
        </w:rPr>
        <w:t>.1</w:t>
      </w:r>
    </w:p>
    <w:p w14:paraId="31B67001" w14:textId="77777777" w:rsidR="00B37F7F" w:rsidRDefault="00000000">
      <w:pPr>
        <w:pStyle w:val="a4"/>
        <w:numPr>
          <w:ilvl w:val="0"/>
          <w:numId w:val="0"/>
        </w:numPr>
        <w:spacing w:before="156" w:after="156"/>
        <w:ind w:firstLineChars="200" w:firstLine="420"/>
        <w:rPr>
          <w:rFonts w:ascii="Times New Roman" w:eastAsia="宋体" w:hAnsi="黑体" w:hint="eastAsia"/>
          <w:kern w:val="2"/>
          <w:szCs w:val="24"/>
        </w:rPr>
      </w:pPr>
      <w:r>
        <w:rPr>
          <w:rFonts w:hAnsi="黑体" w:hint="eastAsia"/>
          <w:kern w:val="2"/>
          <w:szCs w:val="24"/>
        </w:rPr>
        <w:t>质量监测指标</w:t>
      </w:r>
      <w:r>
        <w:rPr>
          <w:rFonts w:hAnsi="黑体"/>
          <w:kern w:val="2"/>
          <w:szCs w:val="24"/>
        </w:rPr>
        <w:t xml:space="preserve">  </w:t>
      </w:r>
      <w:r>
        <w:t xml:space="preserve">quality </w:t>
      </w:r>
      <w:r>
        <w:rPr>
          <w:rFonts w:hAnsi="黑体" w:hint="eastAsia"/>
          <w:kern w:val="2"/>
          <w:szCs w:val="24"/>
        </w:rPr>
        <w:t>monitoring</w:t>
      </w:r>
      <w:r>
        <w:rPr>
          <w:rFonts w:hAnsi="黑体"/>
          <w:kern w:val="2"/>
          <w:szCs w:val="24"/>
        </w:rPr>
        <w:t xml:space="preserve"> indicator</w:t>
      </w:r>
    </w:p>
    <w:p w14:paraId="3EF3A4BD" w14:textId="77777777" w:rsidR="00B37F7F" w:rsidRDefault="00000000">
      <w:pPr>
        <w:ind w:firstLineChars="200" w:firstLine="420"/>
      </w:pPr>
      <w:r>
        <w:rPr>
          <w:rFonts w:hint="eastAsia"/>
        </w:rPr>
        <w:t>一组内在特征满足要求程度的度量。在本标准中，“质量监测指标”是指实验室检测过程满足相关要求程度的指标。</w:t>
      </w:r>
    </w:p>
    <w:p w14:paraId="2403C05A" w14:textId="77777777" w:rsidR="00B37F7F" w:rsidRDefault="00000000">
      <w:pPr>
        <w:spacing w:beforeLines="50" w:before="156" w:afterLines="50" w:after="156"/>
        <w:rPr>
          <w:rFonts w:hAnsi="黑体" w:hint="eastAsia"/>
        </w:rPr>
      </w:pPr>
      <w:r>
        <w:rPr>
          <w:rFonts w:ascii="黑体" w:eastAsia="黑体" w:hAnsi="黑体" w:hint="eastAsia"/>
        </w:rPr>
        <w:t>3</w:t>
      </w:r>
      <w:r>
        <w:rPr>
          <w:rFonts w:ascii="黑体" w:eastAsia="黑体" w:hAnsi="黑体"/>
        </w:rPr>
        <w:t>.2</w:t>
      </w:r>
    </w:p>
    <w:p w14:paraId="3EF7006E" w14:textId="77777777" w:rsidR="00B37F7F" w:rsidRDefault="00000000">
      <w:pPr>
        <w:spacing w:beforeLines="50" w:before="156" w:afterLines="50" w:after="156"/>
        <w:ind w:firstLineChars="200" w:firstLine="420"/>
        <w:rPr>
          <w:rFonts w:hAnsi="黑体" w:hint="eastAsia"/>
        </w:rPr>
      </w:pPr>
      <w:r>
        <w:rPr>
          <w:rFonts w:ascii="黑体" w:eastAsia="黑体" w:hAnsi="黑体" w:hint="eastAsia"/>
        </w:rPr>
        <w:t>血液检测</w:t>
      </w:r>
      <w:r>
        <w:rPr>
          <w:rFonts w:ascii="黑体" w:eastAsia="黑体" w:hAnsi="黑体"/>
        </w:rPr>
        <w:t xml:space="preserve"> </w:t>
      </w:r>
      <w:r>
        <w:rPr>
          <w:rFonts w:ascii="黑体" w:eastAsia="黑体" w:hAnsi="黑体" w:hint="eastAsia"/>
        </w:rPr>
        <w:t>b</w:t>
      </w:r>
      <w:r>
        <w:rPr>
          <w:rFonts w:ascii="黑体" w:eastAsia="黑体" w:hAnsi="黑体"/>
        </w:rPr>
        <w:t>lood donation testing</w:t>
      </w:r>
    </w:p>
    <w:p w14:paraId="24D85D98" w14:textId="77777777" w:rsidR="00B37F7F" w:rsidRDefault="00000000">
      <w:pPr>
        <w:ind w:firstLineChars="200" w:firstLine="420"/>
      </w:pPr>
      <w:r>
        <w:rPr>
          <w:rFonts w:hint="eastAsia"/>
        </w:rPr>
        <w:t>以预防输血相关感染、保证血液安全为目的，按照国家法规和技术标准，对献血者及其捐献的血液进行检测的过程。</w:t>
      </w:r>
    </w:p>
    <w:p w14:paraId="1B8B5DB2" w14:textId="77777777" w:rsidR="00B37F7F" w:rsidRDefault="00000000">
      <w:pPr>
        <w:spacing w:beforeLines="50" w:before="156" w:afterLines="50" w:after="156"/>
        <w:rPr>
          <w:rFonts w:hAnsi="黑体" w:hint="eastAsia"/>
        </w:rPr>
      </w:pPr>
      <w:r>
        <w:rPr>
          <w:rFonts w:ascii="黑体" w:eastAsia="黑体" w:hAnsi="黑体" w:hint="eastAsia"/>
        </w:rPr>
        <w:t>3</w:t>
      </w:r>
      <w:r>
        <w:rPr>
          <w:rFonts w:ascii="黑体" w:eastAsia="黑体" w:hAnsi="黑体"/>
        </w:rPr>
        <w:t>.3</w:t>
      </w:r>
    </w:p>
    <w:p w14:paraId="4C964876" w14:textId="77777777" w:rsidR="00B37F7F" w:rsidRDefault="00000000">
      <w:pPr>
        <w:pStyle w:val="a4"/>
        <w:numPr>
          <w:ilvl w:val="0"/>
          <w:numId w:val="0"/>
        </w:numPr>
        <w:spacing w:before="156" w:after="156"/>
        <w:ind w:firstLineChars="200" w:firstLine="420"/>
        <w:rPr>
          <w:rFonts w:ascii="Times New Roman" w:eastAsia="宋体" w:hAnsi="黑体" w:hint="eastAsia"/>
          <w:kern w:val="2"/>
          <w:szCs w:val="24"/>
        </w:rPr>
      </w:pPr>
      <w:r>
        <w:rPr>
          <w:rFonts w:hAnsi="黑体" w:hint="eastAsia"/>
          <w:kern w:val="2"/>
          <w:szCs w:val="24"/>
        </w:rPr>
        <w:t xml:space="preserve">血液检测实验室　</w:t>
      </w:r>
      <w:r>
        <w:t>blood</w:t>
      </w:r>
      <w:r>
        <w:rPr>
          <w:rFonts w:hAnsi="黑体"/>
          <w:kern w:val="2"/>
          <w:szCs w:val="24"/>
        </w:rPr>
        <w:t xml:space="preserve"> donation testing laboratory</w:t>
      </w:r>
    </w:p>
    <w:p w14:paraId="3C66A5B1" w14:textId="77777777" w:rsidR="00B37F7F" w:rsidRDefault="00000000">
      <w:pPr>
        <w:ind w:firstLineChars="200" w:firstLine="420"/>
      </w:pPr>
      <w:r>
        <w:rPr>
          <w:rFonts w:hint="eastAsia"/>
        </w:rPr>
        <w:t>承担血液检测任务的实验室。</w:t>
      </w:r>
    </w:p>
    <w:p w14:paraId="48EF5470" w14:textId="77777777" w:rsidR="00B37F7F" w:rsidRDefault="00000000">
      <w:pPr>
        <w:spacing w:beforeLines="50" w:before="156" w:afterLines="50" w:after="156"/>
        <w:rPr>
          <w:rFonts w:hAnsi="黑体" w:hint="eastAsia"/>
        </w:rPr>
      </w:pPr>
      <w:r>
        <w:rPr>
          <w:rFonts w:ascii="黑体" w:eastAsia="黑体" w:hAnsi="黑体" w:hint="eastAsia"/>
        </w:rPr>
        <w:t>3</w:t>
      </w:r>
      <w:r>
        <w:rPr>
          <w:rFonts w:ascii="黑体" w:eastAsia="黑体" w:hAnsi="黑体"/>
        </w:rPr>
        <w:t xml:space="preserve">.4 </w:t>
      </w:r>
    </w:p>
    <w:p w14:paraId="20871E10" w14:textId="77777777" w:rsidR="00B37F7F" w:rsidRDefault="00000000">
      <w:pPr>
        <w:pStyle w:val="a4"/>
        <w:numPr>
          <w:ilvl w:val="0"/>
          <w:numId w:val="0"/>
        </w:numPr>
        <w:spacing w:before="156" w:after="156"/>
        <w:ind w:firstLineChars="200" w:firstLine="420"/>
        <w:rPr>
          <w:rFonts w:ascii="Times New Roman" w:eastAsia="宋体" w:hAnsi="黑体" w:hint="eastAsia"/>
          <w:kern w:val="2"/>
          <w:szCs w:val="24"/>
        </w:rPr>
      </w:pPr>
      <w:r>
        <w:rPr>
          <w:rFonts w:hAnsi="黑体" w:hint="eastAsia"/>
          <w:kern w:val="2"/>
          <w:szCs w:val="24"/>
        </w:rPr>
        <w:t xml:space="preserve">血液检测全过程  </w:t>
      </w:r>
      <w:r>
        <w:t xml:space="preserve">whole </w:t>
      </w:r>
      <w:r>
        <w:rPr>
          <w:rFonts w:hAnsi="黑体"/>
          <w:kern w:val="2"/>
          <w:szCs w:val="24"/>
        </w:rPr>
        <w:t xml:space="preserve">process of blood </w:t>
      </w:r>
      <w:r>
        <w:rPr>
          <w:rFonts w:hAnsi="黑体" w:hint="eastAsia"/>
          <w:kern w:val="2"/>
          <w:szCs w:val="24"/>
        </w:rPr>
        <w:t xml:space="preserve">donation </w:t>
      </w:r>
      <w:r>
        <w:rPr>
          <w:rFonts w:hAnsi="黑体"/>
          <w:kern w:val="2"/>
          <w:szCs w:val="24"/>
        </w:rPr>
        <w:t>testing</w:t>
      </w:r>
    </w:p>
    <w:p w14:paraId="7A990953" w14:textId="77777777" w:rsidR="00B37F7F" w:rsidRDefault="00000000">
      <w:pPr>
        <w:ind w:firstLineChars="200" w:firstLine="420"/>
      </w:pPr>
      <w:r>
        <w:rPr>
          <w:rFonts w:hint="eastAsia"/>
        </w:rPr>
        <w:t>从献血者标本采集到血液检测报告发出的全部过程，包括检测前、检测中和检测后三个部分的不同步骤。</w:t>
      </w:r>
    </w:p>
    <w:p w14:paraId="5C07BA39" w14:textId="77777777" w:rsidR="00B37F7F" w:rsidRDefault="00000000">
      <w:pPr>
        <w:spacing w:beforeLines="50" w:before="156" w:afterLines="50" w:after="156"/>
        <w:rPr>
          <w:rFonts w:hAnsi="黑体" w:hint="eastAsia"/>
        </w:rPr>
      </w:pPr>
      <w:r>
        <w:rPr>
          <w:rFonts w:ascii="黑体" w:eastAsia="黑体" w:hAnsi="黑体" w:hint="eastAsia"/>
        </w:rPr>
        <w:t>3</w:t>
      </w:r>
      <w:r>
        <w:rPr>
          <w:rFonts w:ascii="黑体" w:eastAsia="黑体" w:hAnsi="黑体"/>
        </w:rPr>
        <w:t>.5</w:t>
      </w:r>
    </w:p>
    <w:p w14:paraId="2F800D53" w14:textId="77777777" w:rsidR="00B37F7F" w:rsidRDefault="00000000">
      <w:pPr>
        <w:spacing w:beforeLines="50" w:before="156" w:afterLines="50" w:after="156"/>
        <w:ind w:firstLineChars="200" w:firstLine="420"/>
        <w:rPr>
          <w:rFonts w:hAnsi="黑体" w:hint="eastAsia"/>
        </w:rPr>
      </w:pPr>
      <w:r>
        <w:rPr>
          <w:rFonts w:ascii="黑体" w:eastAsia="黑体" w:hAnsi="黑体" w:hint="eastAsia"/>
        </w:rPr>
        <w:t>酶联免疫吸附试验</w:t>
      </w:r>
      <w:r>
        <w:rPr>
          <w:rFonts w:ascii="黑体" w:eastAsia="黑体" w:hAnsi="黑体"/>
        </w:rPr>
        <w:t xml:space="preserve">   enzyme-linked immunosorbent assay </w:t>
      </w:r>
      <w:r>
        <w:rPr>
          <w:rFonts w:ascii="黑体" w:eastAsia="黑体" w:hAnsi="黑体" w:hint="eastAsia"/>
        </w:rPr>
        <w:t>，ELISA</w:t>
      </w:r>
    </w:p>
    <w:p w14:paraId="5E8C0337" w14:textId="77777777" w:rsidR="00B37F7F" w:rsidRDefault="00000000">
      <w:pPr>
        <w:ind w:firstLineChars="200" w:firstLine="420"/>
      </w:pPr>
      <w:r>
        <w:rPr>
          <w:rFonts w:ascii="宋体" w:hint="eastAsia"/>
          <w:szCs w:val="20"/>
        </w:rPr>
        <w:lastRenderedPageBreak/>
        <w:t>将已知的抗原或抗体吸附在固相载体表面，待测抗体或抗原和酶标记的抗原或抗体按照一定程序与固相载体上抗原或抗体结合并产生后续反应的一种检测抗体或抗原的技术。</w:t>
      </w:r>
    </w:p>
    <w:p w14:paraId="3C643B8F" w14:textId="77777777" w:rsidR="00B37F7F" w:rsidRDefault="00000000">
      <w:pPr>
        <w:spacing w:beforeLines="50" w:before="156" w:afterLines="50" w:after="156"/>
        <w:rPr>
          <w:rFonts w:hAnsi="黑体" w:hint="eastAsia"/>
        </w:rPr>
      </w:pPr>
      <w:r>
        <w:rPr>
          <w:rFonts w:ascii="黑体" w:eastAsia="黑体" w:hAnsi="黑体" w:hint="eastAsia"/>
        </w:rPr>
        <w:t>3</w:t>
      </w:r>
      <w:r>
        <w:rPr>
          <w:rFonts w:ascii="黑体" w:eastAsia="黑体" w:hAnsi="黑体"/>
        </w:rPr>
        <w:t xml:space="preserve">.6 </w:t>
      </w:r>
    </w:p>
    <w:p w14:paraId="6C4DA9F9" w14:textId="77777777" w:rsidR="00B37F7F" w:rsidRDefault="00000000">
      <w:pPr>
        <w:pStyle w:val="a4"/>
        <w:numPr>
          <w:ilvl w:val="0"/>
          <w:numId w:val="0"/>
        </w:numPr>
        <w:spacing w:before="156" w:after="156"/>
        <w:ind w:firstLineChars="200" w:firstLine="420"/>
        <w:rPr>
          <w:rFonts w:ascii="Times New Roman" w:eastAsia="宋体" w:hAnsi="黑体" w:hint="eastAsia"/>
          <w:kern w:val="2"/>
          <w:szCs w:val="24"/>
        </w:rPr>
      </w:pPr>
      <w:r>
        <w:rPr>
          <w:rFonts w:hAnsi="黑体" w:hint="eastAsia"/>
          <w:kern w:val="2"/>
          <w:szCs w:val="24"/>
        </w:rPr>
        <w:t>核酸检测</w:t>
      </w:r>
      <w:r>
        <w:rPr>
          <w:rFonts w:hAnsi="黑体" w:hint="eastAsia"/>
        </w:rPr>
        <w:t xml:space="preserve">  </w:t>
      </w:r>
      <w:r>
        <w:t>nucleic acid testing</w:t>
      </w:r>
      <w:r>
        <w:rPr>
          <w:rFonts w:hAnsi="黑体"/>
          <w:kern w:val="2"/>
          <w:szCs w:val="24"/>
        </w:rPr>
        <w:t xml:space="preserve"> </w:t>
      </w:r>
      <w:r>
        <w:rPr>
          <w:rFonts w:hAnsi="黑体" w:hint="eastAsia"/>
          <w:kern w:val="2"/>
          <w:szCs w:val="24"/>
        </w:rPr>
        <w:t>，</w:t>
      </w:r>
      <w:r>
        <w:rPr>
          <w:rFonts w:hAnsi="黑体"/>
          <w:kern w:val="2"/>
          <w:szCs w:val="24"/>
        </w:rPr>
        <w:t>NAT</w:t>
      </w:r>
      <w:r>
        <w:rPr>
          <w:rFonts w:hAnsi="黑体"/>
        </w:rPr>
        <w:tab/>
      </w:r>
    </w:p>
    <w:p w14:paraId="7A7EAB2B" w14:textId="77777777" w:rsidR="00B37F7F" w:rsidRDefault="00000000">
      <w:pPr>
        <w:ind w:firstLineChars="200" w:firstLine="420"/>
        <w:rPr>
          <w:szCs w:val="21"/>
        </w:rPr>
      </w:pPr>
      <w:r>
        <w:rPr>
          <w:rFonts w:hint="eastAsia"/>
          <w:szCs w:val="21"/>
        </w:rPr>
        <w:t>一种使用针对特定基因组序列的扩增技术来检测标本中存在微生物核酸的检测方法。也可以称为“分子筛查”。许多核酸检测技术专为献血者血液检测而设计，在单次试验中组合了对</w:t>
      </w:r>
      <w:r>
        <w:t>HBV</w:t>
      </w:r>
      <w:r>
        <w:rPr>
          <w:rFonts w:hint="eastAsia"/>
        </w:rPr>
        <w:t xml:space="preserve"> DNA</w:t>
      </w:r>
      <w:r>
        <w:rPr>
          <w:rFonts w:hint="eastAsia"/>
        </w:rPr>
        <w:t>、</w:t>
      </w:r>
      <w:r>
        <w:rPr>
          <w:rFonts w:hint="eastAsia"/>
        </w:rPr>
        <w:t>HCV RNA</w:t>
      </w:r>
      <w:r>
        <w:rPr>
          <w:rFonts w:hint="eastAsia"/>
        </w:rPr>
        <w:t>、</w:t>
      </w:r>
      <w:r>
        <w:rPr>
          <w:rFonts w:hint="eastAsia"/>
        </w:rPr>
        <w:t>HIV RNA</w:t>
      </w:r>
      <w:r>
        <w:rPr>
          <w:rFonts w:hint="eastAsia"/>
          <w:szCs w:val="21"/>
        </w:rPr>
        <w:t>的检测。</w:t>
      </w:r>
    </w:p>
    <w:p w14:paraId="6879783F" w14:textId="77777777" w:rsidR="00B37F7F" w:rsidRDefault="00000000">
      <w:pPr>
        <w:spacing w:beforeLines="50" w:before="156" w:afterLines="50" w:after="156"/>
        <w:rPr>
          <w:rFonts w:hAnsi="黑体" w:hint="eastAsia"/>
        </w:rPr>
      </w:pPr>
      <w:r>
        <w:rPr>
          <w:rFonts w:ascii="黑体" w:eastAsia="黑体" w:hAnsi="黑体" w:hint="eastAsia"/>
        </w:rPr>
        <w:t>3</w:t>
      </w:r>
      <w:r>
        <w:rPr>
          <w:rFonts w:ascii="黑体" w:eastAsia="黑体" w:hAnsi="黑体"/>
        </w:rPr>
        <w:t xml:space="preserve">.7 </w:t>
      </w:r>
      <w:r>
        <w:rPr>
          <w:rFonts w:ascii="黑体" w:eastAsia="黑体" w:hAnsi="黑体"/>
        </w:rPr>
        <w:tab/>
      </w:r>
    </w:p>
    <w:p w14:paraId="1706EAD2" w14:textId="77777777" w:rsidR="00B37F7F" w:rsidRDefault="00000000">
      <w:pPr>
        <w:spacing w:beforeLines="50" w:before="156" w:afterLines="50" w:after="156"/>
        <w:ind w:firstLineChars="200" w:firstLine="420"/>
        <w:rPr>
          <w:rFonts w:hAnsi="黑体" w:hint="eastAsia"/>
        </w:rPr>
      </w:pPr>
      <w:r>
        <w:rPr>
          <w:rFonts w:ascii="黑体" w:eastAsia="黑体" w:hAnsi="黑体"/>
        </w:rPr>
        <w:t>NAT</w:t>
      </w:r>
      <w:r>
        <w:rPr>
          <w:rFonts w:ascii="黑体" w:eastAsia="黑体" w:hAnsi="黑体" w:hint="eastAsia"/>
        </w:rPr>
        <w:t>联检</w:t>
      </w:r>
      <w:r>
        <w:rPr>
          <w:rFonts w:ascii="黑体" w:eastAsia="黑体" w:hAnsi="黑体"/>
        </w:rPr>
        <w:t xml:space="preserve"> </w:t>
      </w:r>
      <w:r>
        <w:rPr>
          <w:rFonts w:ascii="黑体" w:eastAsia="黑体" w:hAnsi="黑体" w:hint="eastAsia"/>
        </w:rPr>
        <w:t>m</w:t>
      </w:r>
      <w:r>
        <w:rPr>
          <w:rFonts w:ascii="黑体" w:eastAsia="黑体" w:hAnsi="黑体"/>
        </w:rPr>
        <w:t>ultiplex NAT</w:t>
      </w:r>
    </w:p>
    <w:p w14:paraId="7F6B3D45" w14:textId="77777777" w:rsidR="00B37F7F" w:rsidRDefault="00000000">
      <w:pPr>
        <w:ind w:firstLineChars="200" w:firstLine="420"/>
      </w:pPr>
      <w:r>
        <w:rPr>
          <w:rFonts w:hint="eastAsia"/>
        </w:rPr>
        <w:t>对标本同时进行</w:t>
      </w:r>
      <w:r>
        <w:t>HBV</w:t>
      </w:r>
      <w:r>
        <w:rPr>
          <w:rFonts w:hint="eastAsia"/>
        </w:rPr>
        <w:t xml:space="preserve"> DNA</w:t>
      </w:r>
      <w:r>
        <w:rPr>
          <w:rFonts w:hint="eastAsia"/>
        </w:rPr>
        <w:t>、</w:t>
      </w:r>
      <w:r>
        <w:rPr>
          <w:rFonts w:hint="eastAsia"/>
        </w:rPr>
        <w:t>HCV RNA</w:t>
      </w:r>
      <w:r>
        <w:rPr>
          <w:rFonts w:hint="eastAsia"/>
        </w:rPr>
        <w:t>、</w:t>
      </w:r>
      <w:r>
        <w:rPr>
          <w:rFonts w:hint="eastAsia"/>
        </w:rPr>
        <w:t>HIV RNA</w:t>
      </w:r>
      <w:r>
        <w:rPr>
          <w:rFonts w:hint="eastAsia"/>
        </w:rPr>
        <w:t>联合检测的方法。</w:t>
      </w:r>
    </w:p>
    <w:p w14:paraId="501A8F1B" w14:textId="77777777" w:rsidR="00B37F7F" w:rsidRDefault="00000000">
      <w:pPr>
        <w:ind w:firstLineChars="200" w:firstLine="420"/>
        <w:rPr>
          <w:szCs w:val="21"/>
        </w:rPr>
      </w:pPr>
      <w:r>
        <w:rPr>
          <w:rFonts w:hint="eastAsia"/>
          <w:szCs w:val="21"/>
        </w:rPr>
        <w:t>注：</w:t>
      </w:r>
      <w:r>
        <w:rPr>
          <w:szCs w:val="21"/>
        </w:rPr>
        <w:t>NAT</w:t>
      </w:r>
      <w:r>
        <w:rPr>
          <w:rFonts w:hint="eastAsia"/>
          <w:szCs w:val="21"/>
        </w:rPr>
        <w:t>联检包括</w:t>
      </w:r>
      <w:r>
        <w:rPr>
          <w:szCs w:val="21"/>
        </w:rPr>
        <w:t>HBV DNA/HCV RNA/HIV RNA</w:t>
      </w:r>
      <w:r>
        <w:rPr>
          <w:rFonts w:hint="eastAsia"/>
          <w:szCs w:val="21"/>
        </w:rPr>
        <w:t>不分项</w:t>
      </w:r>
      <w:r>
        <w:rPr>
          <w:szCs w:val="21"/>
        </w:rPr>
        <w:t>NAT</w:t>
      </w:r>
      <w:r>
        <w:rPr>
          <w:rFonts w:hint="eastAsia"/>
          <w:szCs w:val="21"/>
        </w:rPr>
        <w:t>联检、</w:t>
      </w:r>
      <w:r>
        <w:rPr>
          <w:szCs w:val="21"/>
        </w:rPr>
        <w:t>HBV DNA/HCV RNA/HIV RNA</w:t>
      </w:r>
      <w:r>
        <w:rPr>
          <w:rFonts w:hint="eastAsia"/>
          <w:szCs w:val="21"/>
        </w:rPr>
        <w:t>分项</w:t>
      </w:r>
      <w:r>
        <w:rPr>
          <w:szCs w:val="21"/>
        </w:rPr>
        <w:t>NAT</w:t>
      </w:r>
      <w:r>
        <w:rPr>
          <w:rFonts w:hint="eastAsia"/>
          <w:szCs w:val="21"/>
        </w:rPr>
        <w:t>联检。</w:t>
      </w:r>
    </w:p>
    <w:p w14:paraId="25F0CF35" w14:textId="77777777" w:rsidR="00B37F7F" w:rsidRDefault="00000000">
      <w:pPr>
        <w:spacing w:beforeLines="50" w:before="156" w:afterLines="50" w:after="156"/>
        <w:rPr>
          <w:rFonts w:ascii="黑体" w:eastAsia="黑体" w:hAnsi="黑体" w:hint="eastAsia"/>
        </w:rPr>
      </w:pPr>
      <w:r>
        <w:rPr>
          <w:rFonts w:ascii="黑体" w:eastAsia="黑体" w:hAnsi="黑体" w:hint="eastAsia"/>
        </w:rPr>
        <w:t>3</w:t>
      </w:r>
      <w:r>
        <w:rPr>
          <w:rFonts w:ascii="黑体" w:eastAsia="黑体" w:hAnsi="黑体"/>
        </w:rPr>
        <w:t>.8</w:t>
      </w:r>
    </w:p>
    <w:p w14:paraId="2249FA46" w14:textId="77777777" w:rsidR="00B37F7F" w:rsidRDefault="00000000">
      <w:pPr>
        <w:spacing w:beforeLines="50" w:before="156" w:afterLines="50" w:after="156"/>
        <w:ind w:firstLineChars="200" w:firstLine="420"/>
        <w:rPr>
          <w:rFonts w:ascii="黑体" w:eastAsia="黑体" w:hAnsi="黑体" w:hint="eastAsia"/>
        </w:rPr>
      </w:pPr>
      <w:r>
        <w:rPr>
          <w:rFonts w:ascii="黑体" w:eastAsia="黑体" w:hAnsi="黑体" w:hint="eastAsia"/>
        </w:rPr>
        <w:t>单病毒</w:t>
      </w:r>
      <w:r>
        <w:rPr>
          <w:rFonts w:ascii="黑体" w:eastAsia="黑体" w:hAnsi="黑体"/>
        </w:rPr>
        <w:t xml:space="preserve">NAT  </w:t>
      </w:r>
      <w:r>
        <w:rPr>
          <w:rFonts w:ascii="黑体" w:eastAsia="黑体" w:hAnsi="黑体" w:hint="eastAsia"/>
        </w:rPr>
        <w:t>s</w:t>
      </w:r>
      <w:r>
        <w:rPr>
          <w:rFonts w:ascii="黑体" w:eastAsia="黑体" w:hAnsi="黑体"/>
        </w:rPr>
        <w:t xml:space="preserve">ingle </w:t>
      </w:r>
      <w:r>
        <w:rPr>
          <w:rFonts w:ascii="黑体" w:eastAsia="黑体" w:hAnsi="黑体" w:hint="eastAsia"/>
        </w:rPr>
        <w:t>v</w:t>
      </w:r>
      <w:r>
        <w:rPr>
          <w:rFonts w:ascii="黑体" w:eastAsia="黑体" w:hAnsi="黑体"/>
        </w:rPr>
        <w:t>irus NAT</w:t>
      </w:r>
    </w:p>
    <w:p w14:paraId="0B1316FD" w14:textId="77777777" w:rsidR="00B37F7F" w:rsidRDefault="00000000">
      <w:pPr>
        <w:ind w:firstLineChars="235" w:firstLine="493"/>
      </w:pPr>
      <w:r>
        <w:rPr>
          <w:rFonts w:hint="eastAsia"/>
        </w:rPr>
        <w:t>对标本分别进行</w:t>
      </w:r>
      <w:r>
        <w:t>HBV</w:t>
      </w:r>
      <w:r>
        <w:rPr>
          <w:rFonts w:hint="eastAsia"/>
        </w:rPr>
        <w:t xml:space="preserve"> DNA</w:t>
      </w:r>
      <w:r>
        <w:rPr>
          <w:rFonts w:hint="eastAsia"/>
        </w:rPr>
        <w:t>或</w:t>
      </w:r>
      <w:r>
        <w:rPr>
          <w:rFonts w:hint="eastAsia"/>
        </w:rPr>
        <w:t>HCV RNA</w:t>
      </w:r>
      <w:r>
        <w:rPr>
          <w:rFonts w:hint="eastAsia"/>
        </w:rPr>
        <w:t>或</w:t>
      </w:r>
      <w:r>
        <w:rPr>
          <w:rFonts w:hint="eastAsia"/>
        </w:rPr>
        <w:t>HIV RNA</w:t>
      </w:r>
      <w:r>
        <w:rPr>
          <w:rFonts w:hint="eastAsia"/>
        </w:rPr>
        <w:t>核酸检测</w:t>
      </w:r>
      <w:r>
        <w:rPr>
          <w:rFonts w:asciiTheme="minorEastAsia" w:eastAsiaTheme="minorEastAsia" w:hAnsiTheme="minorEastAsia" w:hint="eastAsia"/>
        </w:rPr>
        <w:t>的方法</w:t>
      </w:r>
      <w:r>
        <w:t>。</w:t>
      </w:r>
    </w:p>
    <w:p w14:paraId="7665AD4A" w14:textId="77777777" w:rsidR="00B37F7F" w:rsidRDefault="00000000">
      <w:pPr>
        <w:spacing w:beforeLines="50" w:before="156" w:afterLines="50" w:after="156"/>
        <w:rPr>
          <w:rFonts w:ascii="黑体" w:eastAsia="黑体" w:hAnsi="黑体" w:hint="eastAsia"/>
        </w:rPr>
      </w:pPr>
      <w:r>
        <w:rPr>
          <w:rFonts w:ascii="黑体" w:eastAsia="黑体" w:hAnsi="黑体" w:hint="eastAsia"/>
        </w:rPr>
        <w:t>3</w:t>
      </w:r>
      <w:r>
        <w:rPr>
          <w:rFonts w:ascii="黑体" w:eastAsia="黑体" w:hAnsi="黑体"/>
        </w:rPr>
        <w:t>.</w:t>
      </w:r>
      <w:r>
        <w:rPr>
          <w:rFonts w:ascii="黑体" w:eastAsia="黑体" w:hAnsi="黑体" w:hint="eastAsia"/>
        </w:rPr>
        <w:t>9</w:t>
      </w:r>
    </w:p>
    <w:p w14:paraId="35B5F7BB" w14:textId="77777777" w:rsidR="00B37F7F" w:rsidRDefault="00000000">
      <w:pPr>
        <w:spacing w:beforeLines="50" w:before="156" w:afterLines="50" w:after="156"/>
        <w:ind w:firstLine="420"/>
        <w:rPr>
          <w:rFonts w:ascii="黑体" w:eastAsia="黑体" w:hAnsi="黑体" w:hint="eastAsia"/>
        </w:rPr>
      </w:pPr>
      <w:r>
        <w:rPr>
          <w:rFonts w:ascii="黑体" w:eastAsia="黑体" w:hAnsi="黑体" w:hint="eastAsia"/>
        </w:rPr>
        <w:t xml:space="preserve">NAT单人份检测 </w:t>
      </w:r>
      <w:r>
        <w:rPr>
          <w:rFonts w:ascii="黑体" w:eastAsia="黑体" w:hAnsi="黑体"/>
        </w:rPr>
        <w:t>individual donor sample NAT</w:t>
      </w:r>
      <w:r>
        <w:rPr>
          <w:rFonts w:ascii="黑体" w:eastAsia="黑体" w:hAnsi="黑体" w:hint="eastAsia"/>
        </w:rPr>
        <w:t>，</w:t>
      </w:r>
      <w:r>
        <w:rPr>
          <w:rFonts w:ascii="黑体" w:eastAsia="黑体" w:hAnsi="黑体"/>
        </w:rPr>
        <w:t>ID-NAT</w:t>
      </w:r>
    </w:p>
    <w:p w14:paraId="20ED808D" w14:textId="77777777" w:rsidR="00B37F7F" w:rsidRDefault="00000000">
      <w:pPr>
        <w:spacing w:beforeLines="50" w:before="156" w:afterLines="50" w:after="156"/>
        <w:ind w:firstLine="420"/>
        <w:rPr>
          <w:rFonts w:ascii="黑体" w:eastAsia="黑体" w:hAnsi="黑体" w:hint="eastAsia"/>
        </w:rPr>
      </w:pPr>
      <w:r>
        <w:rPr>
          <w:rFonts w:asciiTheme="minorEastAsia" w:eastAsiaTheme="minorEastAsia" w:hAnsiTheme="minorEastAsia" w:hint="eastAsia"/>
        </w:rPr>
        <w:t>对单人份标本进行核酸检测的方法。</w:t>
      </w:r>
    </w:p>
    <w:p w14:paraId="52695CDD" w14:textId="77777777" w:rsidR="00B37F7F" w:rsidRDefault="00000000">
      <w:pPr>
        <w:spacing w:beforeLines="50" w:before="156" w:afterLines="50" w:after="156"/>
        <w:rPr>
          <w:rFonts w:hAnsi="黑体" w:hint="eastAsia"/>
        </w:rPr>
      </w:pPr>
      <w:r>
        <w:rPr>
          <w:rFonts w:ascii="黑体" w:eastAsia="黑体" w:hAnsi="黑体" w:hint="eastAsia"/>
        </w:rPr>
        <w:t>3.10</w:t>
      </w:r>
    </w:p>
    <w:p w14:paraId="2F1C7A9B" w14:textId="77777777" w:rsidR="00B37F7F" w:rsidRDefault="00000000">
      <w:pPr>
        <w:spacing w:beforeLines="50" w:before="156" w:afterLines="50" w:after="156"/>
        <w:ind w:firstLineChars="200" w:firstLine="420"/>
        <w:rPr>
          <w:rFonts w:hAnsi="黑体" w:hint="eastAsia"/>
        </w:rPr>
      </w:pPr>
      <w:r>
        <w:rPr>
          <w:rFonts w:ascii="黑体" w:eastAsia="黑体" w:hAnsi="黑体"/>
        </w:rPr>
        <w:t>NAT</w:t>
      </w:r>
      <w:r>
        <w:rPr>
          <w:rFonts w:ascii="黑体" w:eastAsia="黑体" w:hAnsi="黑体" w:hint="eastAsia"/>
        </w:rPr>
        <w:t>混检 m</w:t>
      </w:r>
      <w:r>
        <w:rPr>
          <w:rFonts w:ascii="黑体" w:eastAsia="黑体" w:hAnsi="黑体"/>
        </w:rPr>
        <w:t>inipool NAT</w:t>
      </w:r>
      <w:r>
        <w:rPr>
          <w:rFonts w:ascii="黑体" w:eastAsia="黑体" w:hAnsi="黑体" w:hint="eastAsia"/>
        </w:rPr>
        <w:t>，MP-NAT</w:t>
      </w:r>
    </w:p>
    <w:p w14:paraId="72984A7F" w14:textId="77777777" w:rsidR="00B37F7F" w:rsidRDefault="00000000">
      <w:pPr>
        <w:ind w:firstLineChars="200" w:firstLine="420"/>
        <w:rPr>
          <w:rFonts w:asciiTheme="minorEastAsia" w:eastAsiaTheme="minorEastAsia" w:hAnsiTheme="minorEastAsia" w:hint="eastAsia"/>
        </w:rPr>
      </w:pPr>
      <w:r>
        <w:rPr>
          <w:rFonts w:asciiTheme="minorEastAsia" w:eastAsiaTheme="minorEastAsia" w:hAnsiTheme="minorEastAsia" w:hint="eastAsia"/>
        </w:rPr>
        <w:t>将多份标本等量汇集成一个混样标本，对混合后的标本进行核酸检测的方法。</w:t>
      </w:r>
    </w:p>
    <w:p w14:paraId="576EE132" w14:textId="77777777" w:rsidR="00B37F7F" w:rsidRDefault="00000000">
      <w:pPr>
        <w:spacing w:beforeLines="50" w:before="156" w:afterLines="50" w:after="156"/>
        <w:rPr>
          <w:rFonts w:ascii="黑体" w:eastAsia="黑体" w:hAnsi="黑体" w:hint="eastAsia"/>
        </w:rPr>
      </w:pPr>
      <w:r>
        <w:rPr>
          <w:rFonts w:ascii="黑体" w:eastAsia="黑体" w:hAnsi="黑体" w:hint="eastAsia"/>
        </w:rPr>
        <w:t>3</w:t>
      </w:r>
      <w:r>
        <w:rPr>
          <w:rFonts w:ascii="黑体" w:eastAsia="黑体" w:hAnsi="黑体"/>
        </w:rPr>
        <w:t>.</w:t>
      </w:r>
      <w:r>
        <w:rPr>
          <w:rFonts w:ascii="黑体" w:eastAsia="黑体" w:hAnsi="黑体" w:hint="eastAsia"/>
        </w:rPr>
        <w:t>11</w:t>
      </w:r>
      <w:r>
        <w:rPr>
          <w:rFonts w:ascii="黑体" w:eastAsia="黑体" w:hAnsi="黑体"/>
        </w:rPr>
        <w:t xml:space="preserve">  </w:t>
      </w:r>
    </w:p>
    <w:p w14:paraId="53C22D21" w14:textId="77777777" w:rsidR="00B37F7F" w:rsidRDefault="00000000">
      <w:pPr>
        <w:spacing w:beforeLines="50" w:before="156" w:afterLines="50" w:after="156"/>
        <w:ind w:firstLineChars="200" w:firstLine="420"/>
        <w:rPr>
          <w:rFonts w:ascii="黑体" w:eastAsia="黑体" w:hAnsi="黑体" w:hint="eastAsia"/>
        </w:rPr>
      </w:pPr>
      <w:r>
        <w:rPr>
          <w:rFonts w:ascii="黑体" w:eastAsia="黑体" w:hAnsi="黑体"/>
        </w:rPr>
        <w:t>NAT</w:t>
      </w:r>
      <w:r>
        <w:rPr>
          <w:rFonts w:ascii="黑体" w:eastAsia="黑体" w:hAnsi="黑体" w:hint="eastAsia"/>
        </w:rPr>
        <w:t>拆分</w:t>
      </w:r>
      <w:r>
        <w:rPr>
          <w:rFonts w:ascii="黑体" w:eastAsia="黑体" w:hAnsi="黑体"/>
        </w:rPr>
        <w:t xml:space="preserve"> </w:t>
      </w:r>
      <w:r>
        <w:rPr>
          <w:rFonts w:ascii="黑体" w:eastAsia="黑体" w:hAnsi="黑体" w:hint="eastAsia"/>
        </w:rPr>
        <w:t>d</w:t>
      </w:r>
      <w:r>
        <w:rPr>
          <w:rFonts w:ascii="黑体" w:eastAsia="黑体" w:hAnsi="黑体"/>
        </w:rPr>
        <w:t>econstruction NAT</w:t>
      </w:r>
    </w:p>
    <w:p w14:paraId="5B4A2F64" w14:textId="77777777" w:rsidR="00B37F7F" w:rsidRDefault="00000000">
      <w:pPr>
        <w:ind w:firstLineChars="200" w:firstLine="420"/>
        <w:rPr>
          <w:rFonts w:ascii="黑体" w:eastAsia="黑体"/>
          <w:szCs w:val="21"/>
        </w:rPr>
      </w:pPr>
      <w:r>
        <w:rPr>
          <w:rFonts w:asciiTheme="minorEastAsia" w:eastAsiaTheme="minorEastAsia" w:hAnsiTheme="minorEastAsia" w:hint="eastAsia"/>
          <w:szCs w:val="21"/>
        </w:rPr>
        <w:t>对NAT混检呈反应性标本进行单人份检测，以确定反应性结果来源于特定标本的方法。</w:t>
      </w:r>
    </w:p>
    <w:p w14:paraId="4808F874" w14:textId="77777777" w:rsidR="00B37F7F" w:rsidRDefault="00000000">
      <w:pPr>
        <w:spacing w:beforeLines="50" w:before="156" w:afterLines="50" w:after="156"/>
        <w:rPr>
          <w:rFonts w:ascii="黑体" w:eastAsia="黑体" w:hAnsi="黑体" w:hint="eastAsia"/>
        </w:rPr>
      </w:pPr>
      <w:r>
        <w:rPr>
          <w:rFonts w:ascii="黑体" w:eastAsia="黑体" w:hAnsi="黑体" w:hint="eastAsia"/>
        </w:rPr>
        <w:t>3</w:t>
      </w:r>
      <w:r>
        <w:rPr>
          <w:rFonts w:ascii="黑体" w:eastAsia="黑体" w:hAnsi="黑体"/>
        </w:rPr>
        <w:t>.1</w:t>
      </w:r>
      <w:r>
        <w:rPr>
          <w:rFonts w:ascii="黑体" w:eastAsia="黑体" w:hAnsi="黑体" w:hint="eastAsia"/>
        </w:rPr>
        <w:t>2</w:t>
      </w:r>
      <w:r>
        <w:rPr>
          <w:rFonts w:ascii="黑体" w:eastAsia="黑体" w:hAnsi="黑体"/>
        </w:rPr>
        <w:t xml:space="preserve">  </w:t>
      </w:r>
    </w:p>
    <w:p w14:paraId="1B304DEA" w14:textId="77777777" w:rsidR="00B37F7F" w:rsidRDefault="00000000">
      <w:pPr>
        <w:spacing w:beforeLines="50" w:before="156" w:afterLines="50" w:after="156"/>
        <w:ind w:firstLineChars="200" w:firstLine="420"/>
        <w:rPr>
          <w:rFonts w:ascii="黑体" w:eastAsia="黑体" w:hAnsi="黑体" w:hint="eastAsia"/>
        </w:rPr>
      </w:pPr>
      <w:r>
        <w:rPr>
          <w:rFonts w:ascii="黑体" w:eastAsia="黑体" w:hAnsi="黑体"/>
        </w:rPr>
        <w:t>NAT</w:t>
      </w:r>
      <w:r>
        <w:rPr>
          <w:rFonts w:ascii="黑体" w:eastAsia="黑体" w:hAnsi="黑体" w:hint="eastAsia"/>
        </w:rPr>
        <w:t>鉴别d</w:t>
      </w:r>
      <w:r>
        <w:rPr>
          <w:rFonts w:ascii="黑体" w:eastAsia="黑体" w:hAnsi="黑体"/>
        </w:rPr>
        <w:t>iscriminatory NAT</w:t>
      </w:r>
    </w:p>
    <w:p w14:paraId="2729C055" w14:textId="77777777" w:rsidR="00B37F7F" w:rsidRDefault="00000000">
      <w:pPr>
        <w:ind w:firstLineChars="200" w:firstLine="420"/>
        <w:rPr>
          <w:rFonts w:ascii="宋体" w:hAnsi="宋体" w:hint="eastAsia"/>
          <w:snapToGrid w:val="0"/>
        </w:rPr>
      </w:pPr>
      <w:r>
        <w:rPr>
          <w:rFonts w:hint="eastAsia"/>
        </w:rPr>
        <w:t>使用特异性的引物探针对</w:t>
      </w:r>
      <w:r>
        <w:rPr>
          <w:rFonts w:ascii="宋体" w:hAnsi="宋体" w:hint="eastAsia"/>
          <w:bCs/>
        </w:rPr>
        <w:t>不分项NAT联检呈</w:t>
      </w:r>
      <w:r>
        <w:rPr>
          <w:rFonts w:hint="eastAsia"/>
        </w:rPr>
        <w:t>反应性的标本，</w:t>
      </w:r>
      <w:r>
        <w:rPr>
          <w:rFonts w:ascii="宋体" w:hAnsi="宋体" w:hint="eastAsia"/>
          <w:snapToGrid w:val="0"/>
        </w:rPr>
        <w:t>分别单独检测HBV DNA、HCV RNA、HIV RNA，以识别为何种病毒核酸的方法。</w:t>
      </w:r>
    </w:p>
    <w:p w14:paraId="07C44ACF" w14:textId="77777777" w:rsidR="00B37F7F" w:rsidRDefault="00000000">
      <w:pPr>
        <w:spacing w:beforeLines="50" w:before="156" w:afterLines="50" w:after="156"/>
        <w:rPr>
          <w:rFonts w:ascii="黑体" w:eastAsia="黑体" w:hAnsi="黑体" w:hint="eastAsia"/>
        </w:rPr>
      </w:pPr>
      <w:r>
        <w:rPr>
          <w:rFonts w:ascii="黑体" w:eastAsia="黑体" w:hAnsi="黑体" w:hint="eastAsia"/>
        </w:rPr>
        <w:t>3</w:t>
      </w:r>
      <w:r>
        <w:rPr>
          <w:rFonts w:ascii="黑体" w:eastAsia="黑体" w:hAnsi="黑体"/>
        </w:rPr>
        <w:t>.1</w:t>
      </w:r>
      <w:r>
        <w:rPr>
          <w:rFonts w:ascii="黑体" w:eastAsia="黑体" w:hAnsi="黑体" w:hint="eastAsia"/>
        </w:rPr>
        <w:t>3</w:t>
      </w:r>
      <w:r>
        <w:rPr>
          <w:rFonts w:ascii="黑体" w:eastAsia="黑体" w:hAnsi="黑体"/>
        </w:rPr>
        <w:t xml:space="preserve"> </w:t>
      </w:r>
    </w:p>
    <w:p w14:paraId="10769715" w14:textId="77777777" w:rsidR="00B37F7F" w:rsidRDefault="00000000">
      <w:pPr>
        <w:spacing w:beforeLines="50" w:before="156" w:afterLines="50" w:after="156"/>
        <w:ind w:firstLineChars="200" w:firstLine="420"/>
        <w:rPr>
          <w:rFonts w:ascii="黑体" w:eastAsia="黑体" w:hAnsi="黑体" w:hint="eastAsia"/>
        </w:rPr>
      </w:pPr>
      <w:r>
        <w:rPr>
          <w:rFonts w:ascii="黑体" w:eastAsia="黑体" w:hAnsi="黑体" w:hint="eastAsia"/>
        </w:rPr>
        <w:t>标杆</w:t>
      </w:r>
      <w:r>
        <w:rPr>
          <w:rFonts w:ascii="黑体" w:eastAsia="黑体" w:hAnsi="黑体"/>
        </w:rPr>
        <w:t xml:space="preserve"> benchmarks</w:t>
      </w:r>
    </w:p>
    <w:p w14:paraId="308EB6BA" w14:textId="77777777" w:rsidR="00B37F7F" w:rsidRDefault="00000000">
      <w:pPr>
        <w:ind w:firstLineChars="200" w:firstLine="420"/>
      </w:pPr>
      <w:r>
        <w:t>针对相似的活动</w:t>
      </w:r>
      <w:r>
        <w:rPr>
          <w:rFonts w:hint="eastAsia"/>
        </w:rPr>
        <w:t>，</w:t>
      </w:r>
      <w:r>
        <w:t>其过程和结果代表组织所在行业的内部或外部最佳的经营实践和绩效</w:t>
      </w:r>
      <w:r>
        <w:rPr>
          <w:rFonts w:hint="eastAsia"/>
        </w:rPr>
        <w:t>。</w:t>
      </w:r>
    </w:p>
    <w:p w14:paraId="6E04DCF4" w14:textId="77777777" w:rsidR="00B37F7F" w:rsidRDefault="00000000">
      <w:pPr>
        <w:pStyle w:val="a3"/>
        <w:numPr>
          <w:ilvl w:val="0"/>
          <w:numId w:val="18"/>
        </w:numPr>
        <w:spacing w:before="312" w:after="312"/>
        <w:jc w:val="left"/>
      </w:pPr>
      <w:bookmarkStart w:id="23" w:name="_Hlk181344533"/>
      <w:bookmarkStart w:id="24" w:name="_Toc488570500"/>
      <w:bookmarkStart w:id="25" w:name="_Toc175868213"/>
      <w:bookmarkStart w:id="26" w:name="_Toc175865705"/>
      <w:r>
        <w:rPr>
          <w:rFonts w:hint="eastAsia"/>
          <w:szCs w:val="21"/>
        </w:rPr>
        <w:lastRenderedPageBreak/>
        <w:t>血站血液</w:t>
      </w:r>
      <w:r>
        <w:rPr>
          <w:rFonts w:hint="eastAsia"/>
        </w:rPr>
        <w:t>检测实验室质量监测指标的制定和应用原</w:t>
      </w:r>
      <w:bookmarkEnd w:id="23"/>
      <w:r>
        <w:rPr>
          <w:rFonts w:hint="eastAsia"/>
        </w:rPr>
        <w:t>则</w:t>
      </w:r>
      <w:bookmarkEnd w:id="24"/>
      <w:bookmarkEnd w:id="25"/>
      <w:bookmarkEnd w:id="26"/>
    </w:p>
    <w:p w14:paraId="4B9D5F3F" w14:textId="77777777" w:rsidR="00B37F7F" w:rsidRDefault="00000000">
      <w:pPr>
        <w:spacing w:beforeLines="50" w:before="156" w:afterLines="50" w:after="156"/>
        <w:rPr>
          <w:rFonts w:hAnsi="黑体" w:hint="eastAsia"/>
        </w:rPr>
      </w:pPr>
      <w:bookmarkStart w:id="27" w:name="OLE_LINK22"/>
      <w:bookmarkStart w:id="28" w:name="OLE_LINK21"/>
      <w:r>
        <w:rPr>
          <w:rFonts w:ascii="黑体" w:eastAsia="黑体" w:hAnsi="黑体"/>
        </w:rPr>
        <w:t>4.1</w:t>
      </w:r>
      <w:bookmarkStart w:id="29" w:name="_Hlk181346808"/>
      <w:r>
        <w:rPr>
          <w:rFonts w:ascii="黑体" w:eastAsia="黑体" w:hAnsi="黑体" w:hint="eastAsia"/>
        </w:rPr>
        <w:t>质量监测指标的制定原则</w:t>
      </w:r>
      <w:bookmarkEnd w:id="29"/>
    </w:p>
    <w:p w14:paraId="6F5BCF39" w14:textId="77777777" w:rsidR="00B37F7F" w:rsidRDefault="00000000">
      <w:pPr>
        <w:ind w:firstLineChars="200" w:firstLine="420"/>
      </w:pPr>
      <w:bookmarkStart w:id="30" w:name="_Hlk181346823"/>
      <w:r>
        <w:rPr>
          <w:rFonts w:hint="eastAsia"/>
        </w:rPr>
        <w:t>质量监测指标应涵盖实验室质量体系的全部业务过程和管理要素。应根据实验室或（和）实验室间的指标数据，监测、评估和确认过程的稳定性、可靠性及可比性，为血液检测的质量改进提供方向和数据支持。</w:t>
      </w:r>
      <w:bookmarkEnd w:id="27"/>
      <w:bookmarkEnd w:id="28"/>
    </w:p>
    <w:bookmarkEnd w:id="30"/>
    <w:p w14:paraId="3029A7A8" w14:textId="77777777" w:rsidR="00B37F7F" w:rsidRDefault="00000000">
      <w:pPr>
        <w:spacing w:beforeLines="50" w:before="156" w:afterLines="50" w:after="156"/>
        <w:rPr>
          <w:rFonts w:hAnsi="黑体" w:hint="eastAsia"/>
        </w:rPr>
      </w:pPr>
      <w:r>
        <w:rPr>
          <w:rFonts w:ascii="黑体" w:eastAsia="黑体" w:hAnsi="黑体"/>
        </w:rPr>
        <w:t>4.2</w:t>
      </w:r>
      <w:bookmarkStart w:id="31" w:name="_Hlk181346838"/>
      <w:r>
        <w:rPr>
          <w:rFonts w:ascii="黑体" w:eastAsia="黑体" w:hAnsi="黑体" w:hint="eastAsia"/>
        </w:rPr>
        <w:t>质量监测指标的可操作性</w:t>
      </w:r>
      <w:bookmarkEnd w:id="31"/>
    </w:p>
    <w:p w14:paraId="4911ABE0" w14:textId="77777777" w:rsidR="00B37F7F" w:rsidRDefault="00000000">
      <w:pPr>
        <w:pStyle w:val="afff"/>
      </w:pPr>
      <w:bookmarkStart w:id="32" w:name="_Hlk181346848"/>
      <w:r>
        <w:rPr>
          <w:rFonts w:hint="eastAsia"/>
        </w:rPr>
        <w:t>质量监测指标应具有可操作性。实验室应明确指标目的、意义、范围、指标算法</w:t>
      </w:r>
      <w:bookmarkEnd w:id="32"/>
      <w:r>
        <w:rPr>
          <w:rFonts w:hint="eastAsia"/>
        </w:rPr>
        <w:t>。</w:t>
      </w:r>
    </w:p>
    <w:p w14:paraId="45FB9408" w14:textId="77777777" w:rsidR="00B37F7F" w:rsidRDefault="00000000">
      <w:pPr>
        <w:spacing w:beforeLines="50" w:before="156" w:afterLines="50" w:after="156"/>
        <w:rPr>
          <w:rFonts w:hAnsi="黑体" w:hint="eastAsia"/>
        </w:rPr>
      </w:pPr>
      <w:bookmarkStart w:id="33" w:name="_Hlk181346862"/>
      <w:r>
        <w:rPr>
          <w:rFonts w:ascii="黑体" w:eastAsia="黑体" w:hAnsi="黑体"/>
        </w:rPr>
        <w:t>4.3</w:t>
      </w:r>
      <w:r>
        <w:rPr>
          <w:rFonts w:ascii="黑体" w:eastAsia="黑体" w:hAnsi="黑体" w:hint="eastAsia"/>
        </w:rPr>
        <w:t>质量监测指标数据的收集和记录</w:t>
      </w:r>
      <w:bookmarkEnd w:id="33"/>
    </w:p>
    <w:p w14:paraId="5F6AC0B6" w14:textId="77777777" w:rsidR="00B37F7F" w:rsidRDefault="00000000">
      <w:pPr>
        <w:pStyle w:val="affff4"/>
        <w:numPr>
          <w:ilvl w:val="0"/>
          <w:numId w:val="0"/>
        </w:numPr>
        <w:ind w:firstLineChars="200" w:firstLine="420"/>
      </w:pPr>
      <w:bookmarkStart w:id="34" w:name="_Hlk181347251"/>
      <w:r>
        <w:rPr>
          <w:rFonts w:hint="eastAsia"/>
        </w:rPr>
        <w:t>实验室应明确每项指标的数据收集方法。同时应考虑如下项目：数据收集人员职责、测量频率、数据来源、数据类型、数据处理方式、目标和阈值、报告形式、参考文献，以及对工作人员、受血者和献血者无负面影响</w:t>
      </w:r>
      <w:bookmarkEnd w:id="34"/>
      <w:r>
        <w:rPr>
          <w:rFonts w:hint="eastAsia"/>
        </w:rPr>
        <w:t>。</w:t>
      </w:r>
    </w:p>
    <w:p w14:paraId="1D6FDCBD" w14:textId="77777777" w:rsidR="00B37F7F" w:rsidRDefault="00000000">
      <w:pPr>
        <w:spacing w:beforeLines="50" w:before="156" w:afterLines="50" w:after="156"/>
        <w:rPr>
          <w:rFonts w:hAnsi="黑体" w:hint="eastAsia"/>
        </w:rPr>
      </w:pPr>
      <w:r>
        <w:rPr>
          <w:rFonts w:ascii="黑体" w:eastAsia="黑体" w:hAnsi="黑体"/>
        </w:rPr>
        <w:t>4.4</w:t>
      </w:r>
      <w:bookmarkStart w:id="35" w:name="_Hlk181349912"/>
      <w:r>
        <w:rPr>
          <w:rFonts w:ascii="黑体" w:eastAsia="黑体" w:hAnsi="黑体" w:hint="eastAsia"/>
        </w:rPr>
        <w:t>质量监测指标数据分析和比对目标的设定</w:t>
      </w:r>
      <w:bookmarkEnd w:id="35"/>
    </w:p>
    <w:p w14:paraId="6773F13C" w14:textId="77777777" w:rsidR="00B37F7F" w:rsidRDefault="00000000">
      <w:pPr>
        <w:pStyle w:val="afff"/>
      </w:pPr>
      <w:bookmarkStart w:id="36" w:name="_Hlk181349921"/>
      <w:r>
        <w:rPr>
          <w:rFonts w:hint="eastAsia"/>
        </w:rPr>
        <w:t>实验室可利用统计过程控制工具对质量监测指标数据进行分析。通过分析质量监测指标数据，设定更优的质量目标实施质量改进。同时可参考同行业最佳技术实践，通过不断的标杆比对达到追求卓越绩效的目的</w:t>
      </w:r>
      <w:bookmarkEnd w:id="36"/>
      <w:r>
        <w:rPr>
          <w:rFonts w:hint="eastAsia"/>
        </w:rPr>
        <w:t>。</w:t>
      </w:r>
    </w:p>
    <w:p w14:paraId="65FA7BF0" w14:textId="77777777" w:rsidR="00B37F7F" w:rsidRDefault="00000000">
      <w:pPr>
        <w:spacing w:beforeLines="50" w:before="156" w:afterLines="50" w:after="156"/>
        <w:rPr>
          <w:rFonts w:ascii="黑体" w:hAnsi="黑体" w:hint="eastAsia"/>
          <w:szCs w:val="20"/>
        </w:rPr>
      </w:pPr>
      <w:r>
        <w:rPr>
          <w:rFonts w:ascii="黑体" w:eastAsia="黑体" w:hAnsi="黑体"/>
        </w:rPr>
        <w:t>4.5</w:t>
      </w:r>
      <w:bookmarkStart w:id="37" w:name="_Hlk181349951"/>
      <w:r>
        <w:rPr>
          <w:rFonts w:ascii="黑体" w:eastAsia="黑体" w:hAnsi="黑体" w:hint="eastAsia"/>
        </w:rPr>
        <w:t>质量监测指标数据的应用</w:t>
      </w:r>
      <w:bookmarkEnd w:id="37"/>
    </w:p>
    <w:p w14:paraId="55718AAA" w14:textId="77777777" w:rsidR="00B37F7F" w:rsidRDefault="00000000">
      <w:pPr>
        <w:pStyle w:val="afff"/>
      </w:pPr>
      <w:bookmarkStart w:id="38" w:name="_Hlk181349974"/>
      <w:r>
        <w:t>实验室通过对质量监测指标有效监测，可评估整体过程和（或）某一具体过程的稳定性；可发现过程中潜在的风险因素，以便及时采取适当的纠正措施；可监控</w:t>
      </w:r>
      <w:r>
        <w:rPr>
          <w:rFonts w:hint="eastAsia"/>
        </w:rPr>
        <w:t>纠正、</w:t>
      </w:r>
      <w:r>
        <w:t>验证</w:t>
      </w:r>
      <w:r>
        <w:rPr>
          <w:rFonts w:hint="eastAsia"/>
        </w:rPr>
        <w:t>和（或）改进</w:t>
      </w:r>
      <w:r>
        <w:t>措施的有效性。此外，实验室可参加地区或全国多中心关于质量监测指标的</w:t>
      </w:r>
      <w:r>
        <w:rPr>
          <w:rFonts w:hint="eastAsia"/>
        </w:rPr>
        <w:t>比对与评价</w:t>
      </w:r>
      <w:r>
        <w:t>，通过同行比较数据，评价和定位自身的实验室服务质量</w:t>
      </w:r>
      <w:bookmarkEnd w:id="38"/>
      <w:r>
        <w:t>。</w:t>
      </w:r>
    </w:p>
    <w:p w14:paraId="7FE18BD9" w14:textId="77777777" w:rsidR="00B37F7F" w:rsidRDefault="00000000">
      <w:pPr>
        <w:pStyle w:val="a3"/>
        <w:numPr>
          <w:ilvl w:val="0"/>
          <w:numId w:val="19"/>
        </w:numPr>
        <w:spacing w:before="312" w:after="312"/>
        <w:jc w:val="left"/>
        <w:rPr>
          <w:szCs w:val="21"/>
        </w:rPr>
      </w:pPr>
      <w:bookmarkStart w:id="39" w:name="_Toc175865706"/>
      <w:bookmarkStart w:id="40" w:name="_Toc175868214"/>
      <w:bookmarkStart w:id="41" w:name="_Hlk181349989"/>
      <w:r>
        <w:rPr>
          <w:rFonts w:hint="eastAsia"/>
          <w:szCs w:val="21"/>
        </w:rPr>
        <w:t>血站血液检测实验室质量监测指标</w:t>
      </w:r>
      <w:bookmarkEnd w:id="39"/>
      <w:bookmarkEnd w:id="40"/>
    </w:p>
    <w:p w14:paraId="0ABEF9D9" w14:textId="77777777" w:rsidR="00B37F7F" w:rsidRDefault="00000000">
      <w:pPr>
        <w:pStyle w:val="af"/>
        <w:numPr>
          <w:ilvl w:val="0"/>
          <w:numId w:val="0"/>
        </w:numPr>
        <w:ind w:leftChars="200" w:left="838" w:hangingChars="199" w:hanging="418"/>
        <w:jc w:val="left"/>
        <w:rPr>
          <w:rFonts w:hAnsi="宋体" w:hint="eastAsia"/>
        </w:rPr>
      </w:pPr>
      <w:bookmarkStart w:id="42" w:name="_Hlk181350014"/>
      <w:bookmarkEnd w:id="41"/>
      <w:r>
        <w:rPr>
          <w:rFonts w:hint="eastAsia"/>
        </w:rPr>
        <w:t>各项质量监测指标的计算方法、意义和解释详见表1</w:t>
      </w:r>
      <w:r>
        <w:t>-</w:t>
      </w:r>
      <w:r>
        <w:rPr>
          <w:rFonts w:hint="eastAsia"/>
        </w:rPr>
        <w:t>表5</w:t>
      </w:r>
      <w:bookmarkEnd w:id="42"/>
      <w:r>
        <w:rPr>
          <w:rFonts w:hint="eastAsia"/>
        </w:rPr>
        <w:t>。</w:t>
      </w:r>
    </w:p>
    <w:p w14:paraId="5B83B09A" w14:textId="77777777" w:rsidR="00B37F7F" w:rsidRDefault="00B37F7F">
      <w:pPr>
        <w:pStyle w:val="af"/>
        <w:numPr>
          <w:ilvl w:val="0"/>
          <w:numId w:val="0"/>
        </w:numPr>
        <w:ind w:leftChars="100" w:left="210" w:firstLineChars="200" w:firstLine="420"/>
        <w:jc w:val="left"/>
        <w:rPr>
          <w:rFonts w:hAnsi="宋体" w:hint="eastAsia"/>
        </w:rPr>
        <w:sectPr w:rsidR="00B37F7F">
          <w:headerReference w:type="default" r:id="rId15"/>
          <w:footerReference w:type="default" r:id="rId16"/>
          <w:headerReference w:type="first" r:id="rId17"/>
          <w:footerReference w:type="first" r:id="rId18"/>
          <w:pgSz w:w="11906" w:h="16838"/>
          <w:pgMar w:top="1440" w:right="1800" w:bottom="1440" w:left="1800" w:header="850" w:footer="850" w:gutter="0"/>
          <w:pgNumType w:start="1"/>
          <w:cols w:space="425"/>
          <w:formProt w:val="0"/>
          <w:docGrid w:type="lines" w:linePitch="312"/>
        </w:sectPr>
      </w:pPr>
    </w:p>
    <w:p w14:paraId="661AFBAE" w14:textId="77777777" w:rsidR="00B37F7F" w:rsidRDefault="00000000">
      <w:pPr>
        <w:pStyle w:val="af4"/>
        <w:spacing w:before="156" w:after="156"/>
      </w:pPr>
      <w:bookmarkStart w:id="43" w:name="OLE_LINK7"/>
      <w:r>
        <w:rPr>
          <w:rFonts w:hint="eastAsia"/>
        </w:rPr>
        <w:lastRenderedPageBreak/>
        <w:t>总体质量监测指标</w:t>
      </w:r>
    </w:p>
    <w:tbl>
      <w:tblPr>
        <w:tblW w:w="496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076"/>
        <w:gridCol w:w="4577"/>
        <w:gridCol w:w="1893"/>
        <w:gridCol w:w="4585"/>
      </w:tblGrid>
      <w:tr w:rsidR="00B37F7F" w14:paraId="3E1B2BC2" w14:textId="77777777">
        <w:trPr>
          <w:trHeight w:val="486"/>
          <w:jc w:val="center"/>
        </w:trPr>
        <w:tc>
          <w:tcPr>
            <w:tcW w:w="790" w:type="pct"/>
          </w:tcPr>
          <w:bookmarkEnd w:id="43"/>
          <w:p w14:paraId="34362617"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质量监测指标</w:t>
            </w:r>
          </w:p>
        </w:tc>
        <w:tc>
          <w:tcPr>
            <w:tcW w:w="1743" w:type="pct"/>
          </w:tcPr>
          <w:p w14:paraId="1C601F11"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计算方法</w:t>
            </w:r>
          </w:p>
        </w:tc>
        <w:tc>
          <w:tcPr>
            <w:tcW w:w="721" w:type="pct"/>
          </w:tcPr>
          <w:p w14:paraId="2E94996E"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意义</w:t>
            </w:r>
          </w:p>
        </w:tc>
        <w:tc>
          <w:tcPr>
            <w:tcW w:w="1746" w:type="pct"/>
          </w:tcPr>
          <w:p w14:paraId="15CEEB07"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解释</w:t>
            </w:r>
          </w:p>
        </w:tc>
      </w:tr>
      <w:tr w:rsidR="00B37F7F" w14:paraId="358DC6BB" w14:textId="77777777">
        <w:trPr>
          <w:jc w:val="center"/>
        </w:trPr>
        <w:tc>
          <w:tcPr>
            <w:tcW w:w="790" w:type="pct"/>
          </w:tcPr>
          <w:p w14:paraId="336A7E81" w14:textId="77777777" w:rsidR="00B37F7F" w:rsidRDefault="00000000">
            <w:pPr>
              <w:pStyle w:val="affff1"/>
              <w:spacing w:before="156" w:after="156"/>
              <w:jc w:val="both"/>
              <w:rPr>
                <w:rFonts w:ascii="Times New Roman" w:eastAsia="宋体"/>
                <w:sz w:val="18"/>
                <w:szCs w:val="18"/>
              </w:rPr>
            </w:pPr>
            <w:r>
              <w:rPr>
                <w:rFonts w:ascii="Times New Roman" w:eastAsia="宋体" w:hint="eastAsia"/>
                <w:sz w:val="18"/>
                <w:szCs w:val="18"/>
              </w:rPr>
              <w:t>检测人份数</w:t>
            </w:r>
          </w:p>
        </w:tc>
        <w:tc>
          <w:tcPr>
            <w:tcW w:w="1743" w:type="pct"/>
          </w:tcPr>
          <w:p w14:paraId="1783EA37" w14:textId="77777777" w:rsidR="00B37F7F" w:rsidRDefault="00000000">
            <w:pPr>
              <w:pStyle w:val="affff1"/>
              <w:spacing w:before="156" w:after="156"/>
              <w:jc w:val="both"/>
              <w:rPr>
                <w:rFonts w:ascii="Times New Roman" w:eastAsia="宋体"/>
                <w:sz w:val="18"/>
                <w:szCs w:val="18"/>
              </w:rPr>
            </w:pPr>
            <w:r>
              <w:rPr>
                <w:rFonts w:ascii="Times New Roman" w:eastAsia="宋体" w:hint="eastAsia"/>
                <w:sz w:val="18"/>
                <w:szCs w:val="18"/>
              </w:rPr>
              <w:t>实验室进行血液检测的献血者人份数</w:t>
            </w:r>
          </w:p>
        </w:tc>
        <w:tc>
          <w:tcPr>
            <w:tcW w:w="721" w:type="pct"/>
          </w:tcPr>
          <w:p w14:paraId="3ABD012B" w14:textId="77777777" w:rsidR="00B37F7F" w:rsidRDefault="00000000">
            <w:pPr>
              <w:autoSpaceDE w:val="0"/>
              <w:autoSpaceDN w:val="0"/>
              <w:adjustRightInd w:val="0"/>
              <w:jc w:val="left"/>
              <w:rPr>
                <w:kern w:val="0"/>
                <w:sz w:val="18"/>
                <w:szCs w:val="18"/>
              </w:rPr>
            </w:pPr>
            <w:r>
              <w:rPr>
                <w:rFonts w:hint="eastAsia"/>
                <w:kern w:val="0"/>
                <w:sz w:val="18"/>
                <w:szCs w:val="18"/>
              </w:rPr>
              <w:t>反映实验室检测工作压力和实验室管理难度。</w:t>
            </w:r>
          </w:p>
        </w:tc>
        <w:tc>
          <w:tcPr>
            <w:tcW w:w="1746" w:type="pct"/>
          </w:tcPr>
          <w:p w14:paraId="7FE2A981" w14:textId="77777777" w:rsidR="00B37F7F" w:rsidRDefault="00000000">
            <w:pPr>
              <w:autoSpaceDE w:val="0"/>
              <w:autoSpaceDN w:val="0"/>
              <w:adjustRightInd w:val="0"/>
              <w:jc w:val="left"/>
              <w:rPr>
                <w:kern w:val="0"/>
                <w:sz w:val="18"/>
                <w:szCs w:val="18"/>
              </w:rPr>
            </w:pPr>
            <w:r>
              <w:rPr>
                <w:rFonts w:hint="eastAsia"/>
                <w:kern w:val="0"/>
                <w:sz w:val="18"/>
                <w:szCs w:val="18"/>
              </w:rPr>
              <w:t>该指标指实验室</w:t>
            </w:r>
            <w:r>
              <w:rPr>
                <w:rFonts w:hint="eastAsia"/>
                <w:sz w:val="18"/>
                <w:szCs w:val="18"/>
              </w:rPr>
              <w:t>进行血液检测的献血者人份数。</w:t>
            </w:r>
            <w:r>
              <w:rPr>
                <w:rFonts w:hint="eastAsia"/>
                <w:kern w:val="0"/>
                <w:sz w:val="18"/>
                <w:szCs w:val="18"/>
              </w:rPr>
              <w:t>实验室人员数量、设备数量、检测流程和质量管理目标都与实验室检测人份数相关，通过该指标可以划分实验室规模，从而对不同规模实验室进行横向比较。</w:t>
            </w:r>
          </w:p>
        </w:tc>
      </w:tr>
      <w:tr w:rsidR="00B37F7F" w14:paraId="1A48BDE1" w14:textId="77777777">
        <w:trPr>
          <w:jc w:val="center"/>
        </w:trPr>
        <w:tc>
          <w:tcPr>
            <w:tcW w:w="790" w:type="pct"/>
          </w:tcPr>
          <w:p w14:paraId="1B0DB9FE" w14:textId="77777777" w:rsidR="00B37F7F" w:rsidRDefault="00000000">
            <w:pPr>
              <w:jc w:val="left"/>
              <w:rPr>
                <w:sz w:val="18"/>
                <w:szCs w:val="18"/>
              </w:rPr>
            </w:pPr>
            <w:r>
              <w:rPr>
                <w:rFonts w:hAnsi="Calibri" w:hint="eastAsia"/>
                <w:sz w:val="18"/>
                <w:szCs w:val="18"/>
              </w:rPr>
              <w:t>检测不合格率（</w:t>
            </w:r>
            <w:r>
              <w:rPr>
                <w:rFonts w:hAnsi="Calibri"/>
                <w:sz w:val="18"/>
                <w:szCs w:val="18"/>
              </w:rPr>
              <w:t>%</w:t>
            </w:r>
            <w:r>
              <w:rPr>
                <w:rFonts w:hAnsi="Calibri" w:hint="eastAsia"/>
                <w:sz w:val="18"/>
                <w:szCs w:val="18"/>
              </w:rPr>
              <w:t>）</w:t>
            </w:r>
          </w:p>
        </w:tc>
        <w:tc>
          <w:tcPr>
            <w:tcW w:w="1743" w:type="pct"/>
          </w:tcPr>
          <w:p w14:paraId="78A518BE" w14:textId="77777777" w:rsidR="00B37F7F" w:rsidRDefault="00000000">
            <w:pPr>
              <w:tabs>
                <w:tab w:val="left" w:pos="2662"/>
              </w:tabs>
              <w:jc w:val="left"/>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检测不合格人份数</m:t>
                    </m:r>
                  </m:num>
                  <m:den>
                    <m:r>
                      <m:rPr>
                        <m:sty m:val="p"/>
                      </m:rPr>
                      <w:rPr>
                        <w:rFonts w:ascii="Cambria Math" w:hAnsi="Cambria Math" w:hint="eastAsia"/>
                        <w:sz w:val="18"/>
                        <w:szCs w:val="18"/>
                      </w:rPr>
                      <m:t>检测总人份数</m:t>
                    </m:r>
                  </m:den>
                </m:f>
                <m:r>
                  <w:rPr>
                    <w:rFonts w:ascii="Cambria Math" w:hAnsi="Cambria Math"/>
                    <w:sz w:val="18"/>
                    <w:szCs w:val="18"/>
                  </w:rPr>
                  <m:t>×100%</m:t>
                </m:r>
              </m:oMath>
            </m:oMathPara>
          </w:p>
        </w:tc>
        <w:tc>
          <w:tcPr>
            <w:tcW w:w="721" w:type="pct"/>
          </w:tcPr>
          <w:p w14:paraId="70B31832" w14:textId="77777777" w:rsidR="00B37F7F" w:rsidRDefault="00000000">
            <w:pPr>
              <w:jc w:val="left"/>
              <w:rPr>
                <w:sz w:val="18"/>
                <w:szCs w:val="18"/>
              </w:rPr>
            </w:pPr>
            <w:r>
              <w:rPr>
                <w:rFonts w:hint="eastAsia"/>
                <w:sz w:val="18"/>
                <w:szCs w:val="18"/>
              </w:rPr>
              <w:t>与检测结果及检测量相关，反映检测过程的总体稳定性。</w:t>
            </w:r>
          </w:p>
        </w:tc>
        <w:tc>
          <w:tcPr>
            <w:tcW w:w="1746" w:type="pct"/>
          </w:tcPr>
          <w:p w14:paraId="21B43B04" w14:textId="77777777" w:rsidR="00B37F7F" w:rsidRDefault="00000000">
            <w:pPr>
              <w:jc w:val="left"/>
              <w:rPr>
                <w:sz w:val="18"/>
                <w:szCs w:val="18"/>
              </w:rPr>
            </w:pPr>
            <w:r>
              <w:rPr>
                <w:rFonts w:hint="eastAsia"/>
                <w:sz w:val="18"/>
                <w:szCs w:val="18"/>
              </w:rPr>
              <w:t>该指标反映实验室运行的总体稳定性，尽管每天实验室所检测的标本来自不同时间、不同献血者和（或）不同地点，但在一定时期内每个血站实验室检测不合格率应有其相对稳定状态，一旦发现该指标出现显著波动，应追查原因，确定是检测过程异常还是其他原因如真阳性献血者增多。检测总人份数指一定时期内，实验室检测的献血者人份数；检测不合格人份数指一定时期内经实验室检测为不合格的献血者人份数。</w:t>
            </w:r>
          </w:p>
        </w:tc>
      </w:tr>
      <w:tr w:rsidR="00B37F7F" w14:paraId="0F21EDCD" w14:textId="77777777">
        <w:trPr>
          <w:trHeight w:val="487"/>
          <w:jc w:val="center"/>
        </w:trPr>
        <w:tc>
          <w:tcPr>
            <w:tcW w:w="790" w:type="pct"/>
          </w:tcPr>
          <w:p w14:paraId="73A927C4" w14:textId="77777777" w:rsidR="00B37F7F" w:rsidRDefault="00000000">
            <w:pPr>
              <w:jc w:val="left"/>
              <w:rPr>
                <w:sz w:val="18"/>
                <w:szCs w:val="18"/>
              </w:rPr>
            </w:pPr>
            <w:r>
              <w:rPr>
                <w:rFonts w:hint="eastAsia"/>
                <w:sz w:val="18"/>
                <w:szCs w:val="18"/>
              </w:rPr>
              <w:t>特殊血型检出率</w:t>
            </w:r>
            <w:r>
              <w:rPr>
                <w:rFonts w:hAnsi="Calibri" w:hint="eastAsia"/>
                <w:sz w:val="18"/>
                <w:szCs w:val="18"/>
              </w:rPr>
              <w:t>（</w:t>
            </w:r>
            <w:r>
              <w:rPr>
                <w:rFonts w:hAnsi="Calibri"/>
                <w:sz w:val="18"/>
                <w:szCs w:val="18"/>
              </w:rPr>
              <w:t>%</w:t>
            </w:r>
            <w:r>
              <w:rPr>
                <w:rFonts w:hAnsi="Calibri" w:hint="eastAsia"/>
                <w:sz w:val="18"/>
                <w:szCs w:val="18"/>
              </w:rPr>
              <w:t>）</w:t>
            </w:r>
          </w:p>
        </w:tc>
        <w:tc>
          <w:tcPr>
            <w:tcW w:w="1743" w:type="pct"/>
          </w:tcPr>
          <w:p w14:paraId="3B6791E6" w14:textId="77777777" w:rsidR="00B37F7F" w:rsidRDefault="00000000">
            <w:pPr>
              <w:jc w:val="left"/>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特殊血型检出标本数</m:t>
                    </m:r>
                  </m:num>
                  <m:den>
                    <m:r>
                      <m:rPr>
                        <m:sty m:val="p"/>
                      </m:rPr>
                      <w:rPr>
                        <w:rFonts w:ascii="Cambria Math" w:hAnsi="Cambria Math" w:hint="eastAsia"/>
                        <w:sz w:val="18"/>
                        <w:szCs w:val="18"/>
                      </w:rPr>
                      <m:t>血型检测标本数</m:t>
                    </m:r>
                  </m:den>
                </m:f>
                <m:r>
                  <m:rPr>
                    <m:sty m:val="p"/>
                  </m:rPr>
                  <w:rPr>
                    <w:rFonts w:ascii="Cambria Math" w:eastAsia="MS Mincho" w:hAnsi="Cambria Math" w:cs="MS Mincho"/>
                    <w:sz w:val="18"/>
                    <w:szCs w:val="18"/>
                  </w:rPr>
                  <m:t>×</m:t>
                </m:r>
                <m:r>
                  <m:rPr>
                    <m:sty m:val="p"/>
                  </m:rPr>
                  <w:rPr>
                    <w:rFonts w:ascii="Cambria Math" w:hAnsi="Cambria Math"/>
                    <w:sz w:val="18"/>
                    <w:szCs w:val="18"/>
                  </w:rPr>
                  <m:t>100%</m:t>
                </m:r>
              </m:oMath>
            </m:oMathPara>
          </w:p>
        </w:tc>
        <w:tc>
          <w:tcPr>
            <w:tcW w:w="721" w:type="pct"/>
          </w:tcPr>
          <w:p w14:paraId="0F54FC99" w14:textId="77777777" w:rsidR="00B37F7F" w:rsidRDefault="00000000">
            <w:pPr>
              <w:jc w:val="left"/>
              <w:rPr>
                <w:sz w:val="18"/>
                <w:szCs w:val="18"/>
              </w:rPr>
            </w:pPr>
            <w:r>
              <w:rPr>
                <w:rFonts w:hint="eastAsia"/>
                <w:sz w:val="18"/>
                <w:szCs w:val="18"/>
              </w:rPr>
              <w:t>与血型检测结果相关，反映</w:t>
            </w:r>
            <w:r>
              <w:rPr>
                <w:sz w:val="18"/>
                <w:szCs w:val="18"/>
              </w:rPr>
              <w:t>ABO</w:t>
            </w:r>
            <w:r>
              <w:rPr>
                <w:rFonts w:hint="eastAsia"/>
                <w:sz w:val="18"/>
                <w:szCs w:val="18"/>
              </w:rPr>
              <w:t>和</w:t>
            </w:r>
            <w:r>
              <w:rPr>
                <w:sz w:val="18"/>
                <w:szCs w:val="18"/>
              </w:rPr>
              <w:t>Rh</w:t>
            </w:r>
            <w:r>
              <w:rPr>
                <w:rFonts w:hint="eastAsia"/>
                <w:sz w:val="18"/>
                <w:szCs w:val="18"/>
              </w:rPr>
              <w:t>（</w:t>
            </w:r>
            <w:r>
              <w:rPr>
                <w:sz w:val="18"/>
                <w:szCs w:val="18"/>
              </w:rPr>
              <w:t>D</w:t>
            </w:r>
            <w:r>
              <w:rPr>
                <w:rFonts w:hint="eastAsia"/>
                <w:sz w:val="18"/>
                <w:szCs w:val="18"/>
              </w:rPr>
              <w:t>）血型检测过程的稳定性。</w:t>
            </w:r>
          </w:p>
        </w:tc>
        <w:tc>
          <w:tcPr>
            <w:tcW w:w="1746" w:type="pct"/>
          </w:tcPr>
          <w:p w14:paraId="4A6B3D77" w14:textId="77777777" w:rsidR="00B37F7F" w:rsidRDefault="00000000">
            <w:pPr>
              <w:jc w:val="left"/>
              <w:rPr>
                <w:sz w:val="18"/>
                <w:szCs w:val="18"/>
              </w:rPr>
            </w:pPr>
            <w:r>
              <w:rPr>
                <w:rFonts w:hint="eastAsia"/>
                <w:sz w:val="18"/>
                <w:szCs w:val="18"/>
              </w:rPr>
              <w:t>该指标反映实验室血型检测的稳定性，尽管每天实验室所检测的标本来自不同时间、不同献血者和（或）不同地点，但在一定时期内每个血站实验室特殊血型检出率应有其相对稳定状态，一旦发现该指标出现显著波动，应追查原因，确定是检测过程异常还是其他原因如特殊血型献血者增多。特殊血型检出数指其结果直接导致血液制剂不合格的标本数量，包括但不限于</w:t>
            </w:r>
            <w:r>
              <w:rPr>
                <w:sz w:val="18"/>
                <w:szCs w:val="18"/>
              </w:rPr>
              <w:t>ABO</w:t>
            </w:r>
            <w:r>
              <w:rPr>
                <w:rFonts w:hint="eastAsia"/>
                <w:sz w:val="18"/>
                <w:szCs w:val="18"/>
              </w:rPr>
              <w:t>亚型、不规则抗体等。</w:t>
            </w:r>
          </w:p>
        </w:tc>
      </w:tr>
      <w:tr w:rsidR="00B37F7F" w14:paraId="2C72008A" w14:textId="77777777">
        <w:trPr>
          <w:jc w:val="center"/>
        </w:trPr>
        <w:tc>
          <w:tcPr>
            <w:tcW w:w="790" w:type="pct"/>
          </w:tcPr>
          <w:p w14:paraId="23AC96B5" w14:textId="77777777" w:rsidR="00B37F7F" w:rsidRDefault="00000000">
            <w:pPr>
              <w:jc w:val="left"/>
              <w:rPr>
                <w:sz w:val="18"/>
                <w:szCs w:val="18"/>
              </w:rPr>
            </w:pPr>
            <w:r>
              <w:rPr>
                <w:sz w:val="18"/>
                <w:szCs w:val="18"/>
              </w:rPr>
              <w:t>ALT</w:t>
            </w:r>
            <w:r>
              <w:rPr>
                <w:rFonts w:hint="eastAsia"/>
                <w:sz w:val="18"/>
                <w:szCs w:val="18"/>
              </w:rPr>
              <w:t>检测不合格率</w:t>
            </w:r>
            <w:r>
              <w:rPr>
                <w:rFonts w:hAnsi="Calibri" w:hint="eastAsia"/>
                <w:szCs w:val="21"/>
              </w:rPr>
              <w:t>（</w:t>
            </w:r>
            <w:r>
              <w:rPr>
                <w:rFonts w:hAnsi="Calibri"/>
                <w:sz w:val="18"/>
                <w:szCs w:val="18"/>
              </w:rPr>
              <w:t>%</w:t>
            </w:r>
            <w:r>
              <w:rPr>
                <w:rFonts w:hAnsi="Calibri" w:hint="eastAsia"/>
                <w:szCs w:val="21"/>
              </w:rPr>
              <w:t>）</w:t>
            </w:r>
          </w:p>
        </w:tc>
        <w:tc>
          <w:tcPr>
            <w:tcW w:w="1743" w:type="pct"/>
          </w:tcPr>
          <w:p w14:paraId="2F1E714D" w14:textId="77777777" w:rsidR="00B37F7F" w:rsidRDefault="00000000">
            <w:pPr>
              <w:jc w:val="left"/>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ALT</m:t>
                    </m:r>
                    <m:r>
                      <m:rPr>
                        <m:sty m:val="p"/>
                      </m:rPr>
                      <w:rPr>
                        <w:rFonts w:ascii="Cambria Math" w:hAnsi="Cambria Math" w:hint="eastAsia"/>
                        <w:sz w:val="18"/>
                        <w:szCs w:val="18"/>
                      </w:rPr>
                      <m:t>检测不合格标本数</m:t>
                    </m:r>
                  </m:num>
                  <m:den>
                    <m:r>
                      <m:rPr>
                        <m:sty m:val="p"/>
                      </m:rPr>
                      <w:rPr>
                        <w:rFonts w:ascii="Cambria Math" w:hAnsi="Cambria Math"/>
                        <w:sz w:val="18"/>
                        <w:szCs w:val="18"/>
                      </w:rPr>
                      <m:t>ALT</m:t>
                    </m:r>
                    <m:r>
                      <m:rPr>
                        <m:sty m:val="p"/>
                      </m:rPr>
                      <w:rPr>
                        <w:rFonts w:ascii="Cambria Math" w:hAnsi="Cambria Math" w:hint="eastAsia"/>
                        <w:sz w:val="18"/>
                        <w:szCs w:val="18"/>
                      </w:rPr>
                      <m:t>检测标本数</m:t>
                    </m:r>
                  </m:den>
                </m:f>
                <m:r>
                  <w:rPr>
                    <w:rFonts w:ascii="Cambria Math" w:hAnsi="Cambria Math"/>
                    <w:sz w:val="18"/>
                    <w:szCs w:val="18"/>
                  </w:rPr>
                  <m:t>×100%</m:t>
                </m:r>
              </m:oMath>
            </m:oMathPara>
          </w:p>
        </w:tc>
        <w:tc>
          <w:tcPr>
            <w:tcW w:w="721" w:type="pct"/>
          </w:tcPr>
          <w:p w14:paraId="3DED5EC1" w14:textId="77777777" w:rsidR="00B37F7F" w:rsidRDefault="00000000">
            <w:pPr>
              <w:jc w:val="left"/>
              <w:rPr>
                <w:sz w:val="18"/>
                <w:szCs w:val="18"/>
              </w:rPr>
            </w:pPr>
            <w:r>
              <w:rPr>
                <w:rFonts w:hint="eastAsia"/>
                <w:sz w:val="18"/>
                <w:szCs w:val="18"/>
              </w:rPr>
              <w:t>与</w:t>
            </w:r>
            <w:r>
              <w:rPr>
                <w:sz w:val="18"/>
                <w:szCs w:val="18"/>
              </w:rPr>
              <w:t>ALT</w:t>
            </w:r>
            <w:r>
              <w:rPr>
                <w:rFonts w:hint="eastAsia"/>
                <w:sz w:val="18"/>
                <w:szCs w:val="18"/>
              </w:rPr>
              <w:t>检测结果相关，反映</w:t>
            </w:r>
            <w:r>
              <w:rPr>
                <w:sz w:val="18"/>
                <w:szCs w:val="18"/>
              </w:rPr>
              <w:t>ALT</w:t>
            </w:r>
            <w:r>
              <w:rPr>
                <w:rFonts w:hint="eastAsia"/>
                <w:sz w:val="18"/>
                <w:szCs w:val="18"/>
              </w:rPr>
              <w:t>检测过程的稳定性。</w:t>
            </w:r>
          </w:p>
        </w:tc>
        <w:tc>
          <w:tcPr>
            <w:tcW w:w="1746" w:type="pct"/>
          </w:tcPr>
          <w:p w14:paraId="5658EC67" w14:textId="77777777" w:rsidR="00B37F7F" w:rsidRDefault="00000000">
            <w:pPr>
              <w:jc w:val="left"/>
              <w:rPr>
                <w:sz w:val="18"/>
                <w:szCs w:val="18"/>
              </w:rPr>
            </w:pPr>
            <w:r>
              <w:rPr>
                <w:rFonts w:hint="eastAsia"/>
                <w:sz w:val="18"/>
                <w:szCs w:val="18"/>
              </w:rPr>
              <w:t>该指标反映实验室</w:t>
            </w:r>
            <w:r>
              <w:rPr>
                <w:sz w:val="18"/>
                <w:szCs w:val="18"/>
              </w:rPr>
              <w:t>ALT</w:t>
            </w:r>
            <w:r>
              <w:rPr>
                <w:rFonts w:hint="eastAsia"/>
                <w:sz w:val="18"/>
                <w:szCs w:val="18"/>
              </w:rPr>
              <w:t>检测的稳定性，尽管每天实验室所检测的标本来自不同时间、不同献血者和（或）不同地点，但在一定时期内每个血站实验室该不合格率应有其相对稳定状态，一旦发现该指标出现显著波动，应</w:t>
            </w:r>
            <w:r>
              <w:rPr>
                <w:rFonts w:hint="eastAsia"/>
                <w:sz w:val="18"/>
                <w:szCs w:val="18"/>
              </w:rPr>
              <w:lastRenderedPageBreak/>
              <w:t>追查原因，确定是检测过程异常还是其他原因如</w:t>
            </w:r>
            <w:r>
              <w:rPr>
                <w:sz w:val="18"/>
                <w:szCs w:val="18"/>
              </w:rPr>
              <w:t>ALT</w:t>
            </w:r>
            <w:r>
              <w:rPr>
                <w:rFonts w:hint="eastAsia"/>
                <w:sz w:val="18"/>
                <w:szCs w:val="18"/>
              </w:rPr>
              <w:t>初筛检测策略变化。</w:t>
            </w:r>
          </w:p>
        </w:tc>
      </w:tr>
      <w:tr w:rsidR="00B37F7F" w14:paraId="427BB3DF" w14:textId="77777777">
        <w:trPr>
          <w:jc w:val="center"/>
        </w:trPr>
        <w:tc>
          <w:tcPr>
            <w:tcW w:w="790" w:type="pct"/>
          </w:tcPr>
          <w:p w14:paraId="2C8B6ECC" w14:textId="77777777" w:rsidR="00B37F7F" w:rsidRDefault="00000000">
            <w:pPr>
              <w:jc w:val="left"/>
              <w:rPr>
                <w:sz w:val="18"/>
                <w:szCs w:val="18"/>
              </w:rPr>
            </w:pPr>
            <w:r>
              <w:rPr>
                <w:sz w:val="18"/>
                <w:szCs w:val="18"/>
              </w:rPr>
              <w:lastRenderedPageBreak/>
              <w:t>HIV</w:t>
            </w:r>
            <w:r>
              <w:rPr>
                <w:rFonts w:hint="eastAsia"/>
                <w:sz w:val="18"/>
                <w:szCs w:val="18"/>
              </w:rPr>
              <w:t>抗体或</w:t>
            </w:r>
            <w:r>
              <w:rPr>
                <w:sz w:val="18"/>
                <w:szCs w:val="18"/>
              </w:rPr>
              <w:t>HIV</w:t>
            </w:r>
            <w:r>
              <w:rPr>
                <w:rFonts w:hint="eastAsia"/>
                <w:sz w:val="18"/>
                <w:szCs w:val="18"/>
              </w:rPr>
              <w:t>抗原抗体检测不合格率</w:t>
            </w:r>
            <w:r>
              <w:rPr>
                <w:rFonts w:hAnsi="Calibri" w:hint="eastAsia"/>
                <w:szCs w:val="21"/>
              </w:rPr>
              <w:t>（</w:t>
            </w:r>
            <w:r>
              <w:rPr>
                <w:rFonts w:hAnsi="Calibri"/>
                <w:sz w:val="18"/>
                <w:szCs w:val="18"/>
              </w:rPr>
              <w:t>%</w:t>
            </w:r>
            <w:r>
              <w:rPr>
                <w:rFonts w:hAnsi="Calibri" w:hint="eastAsia"/>
                <w:szCs w:val="21"/>
              </w:rPr>
              <w:t>）</w:t>
            </w:r>
          </w:p>
        </w:tc>
        <w:tc>
          <w:tcPr>
            <w:tcW w:w="1743" w:type="pct"/>
          </w:tcPr>
          <w:p w14:paraId="7C265894" w14:textId="77777777" w:rsidR="00B37F7F" w:rsidRDefault="00000000">
            <w:pPr>
              <w:jc w:val="left"/>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HIV</m:t>
                    </m:r>
                    <m:r>
                      <m:rPr>
                        <m:sty m:val="p"/>
                      </m:rPr>
                      <w:rPr>
                        <w:rFonts w:ascii="Cambria Math" w:hAnsi="Cambria Math" w:hint="eastAsia"/>
                        <w:sz w:val="18"/>
                        <w:szCs w:val="18"/>
                      </w:rPr>
                      <m:t>抗体或</m:t>
                    </m:r>
                    <m:r>
                      <m:rPr>
                        <m:sty m:val="p"/>
                      </m:rPr>
                      <w:rPr>
                        <w:rFonts w:ascii="Cambria Math" w:hAnsi="Cambria Math"/>
                        <w:sz w:val="18"/>
                        <w:szCs w:val="18"/>
                      </w:rPr>
                      <m:t>HIV</m:t>
                    </m:r>
                    <m:r>
                      <m:rPr>
                        <m:sty m:val="p"/>
                      </m:rPr>
                      <w:rPr>
                        <w:rFonts w:ascii="Cambria Math" w:hAnsi="Cambria Math" w:hint="eastAsia"/>
                        <w:sz w:val="18"/>
                        <w:szCs w:val="18"/>
                      </w:rPr>
                      <m:t>抗原抗体检测不合格标本数</m:t>
                    </m:r>
                  </m:num>
                  <m:den>
                    <m:r>
                      <m:rPr>
                        <m:sty m:val="p"/>
                      </m:rPr>
                      <w:rPr>
                        <w:rFonts w:ascii="Cambria Math" w:hAnsi="Cambria Math" w:cs="Cambria Math" w:hint="eastAsia"/>
                        <w:sz w:val="18"/>
                        <w:szCs w:val="18"/>
                      </w:rPr>
                      <m:t>血清学检测标本数</m:t>
                    </m:r>
                  </m:den>
                </m:f>
                <m:r>
                  <w:rPr>
                    <w:rFonts w:ascii="Cambria Math" w:hAnsi="Cambria Math"/>
                    <w:sz w:val="18"/>
                    <w:szCs w:val="18"/>
                  </w:rPr>
                  <m:t>×100%</m:t>
                </m:r>
              </m:oMath>
            </m:oMathPara>
          </w:p>
        </w:tc>
        <w:tc>
          <w:tcPr>
            <w:tcW w:w="721" w:type="pct"/>
          </w:tcPr>
          <w:p w14:paraId="6621291D" w14:textId="77777777" w:rsidR="00B37F7F" w:rsidRDefault="00000000">
            <w:pPr>
              <w:jc w:val="left"/>
              <w:rPr>
                <w:sz w:val="18"/>
                <w:szCs w:val="18"/>
              </w:rPr>
            </w:pPr>
            <w:r>
              <w:rPr>
                <w:rFonts w:hint="eastAsia"/>
                <w:sz w:val="18"/>
                <w:szCs w:val="18"/>
              </w:rPr>
              <w:t>与</w:t>
            </w:r>
            <w:r>
              <w:rPr>
                <w:sz w:val="18"/>
                <w:szCs w:val="18"/>
              </w:rPr>
              <w:t>HIV</w:t>
            </w:r>
            <w:r>
              <w:rPr>
                <w:rFonts w:hint="eastAsia"/>
                <w:sz w:val="18"/>
                <w:szCs w:val="18"/>
              </w:rPr>
              <w:t>抗体或</w:t>
            </w:r>
            <w:r>
              <w:rPr>
                <w:sz w:val="18"/>
                <w:szCs w:val="18"/>
              </w:rPr>
              <w:t>HIV</w:t>
            </w:r>
            <w:r>
              <w:rPr>
                <w:rFonts w:hint="eastAsia"/>
                <w:sz w:val="18"/>
                <w:szCs w:val="18"/>
              </w:rPr>
              <w:t>抗原抗体检测结果相关，反映</w:t>
            </w:r>
            <w:r>
              <w:rPr>
                <w:sz w:val="18"/>
                <w:szCs w:val="18"/>
              </w:rPr>
              <w:t>HIV</w:t>
            </w:r>
            <w:r>
              <w:rPr>
                <w:rFonts w:hint="eastAsia"/>
                <w:sz w:val="18"/>
                <w:szCs w:val="18"/>
              </w:rPr>
              <w:t>检测过程的稳定性。</w:t>
            </w:r>
          </w:p>
        </w:tc>
        <w:tc>
          <w:tcPr>
            <w:tcW w:w="1746" w:type="pct"/>
          </w:tcPr>
          <w:p w14:paraId="21332769" w14:textId="77777777" w:rsidR="00B37F7F" w:rsidRDefault="00000000">
            <w:pPr>
              <w:jc w:val="left"/>
              <w:rPr>
                <w:sz w:val="18"/>
                <w:szCs w:val="18"/>
              </w:rPr>
            </w:pPr>
            <w:r>
              <w:rPr>
                <w:rFonts w:hint="eastAsia"/>
                <w:sz w:val="18"/>
                <w:szCs w:val="18"/>
              </w:rPr>
              <w:t>该指标反映实验室</w:t>
            </w:r>
            <w:r>
              <w:rPr>
                <w:sz w:val="18"/>
                <w:szCs w:val="18"/>
              </w:rPr>
              <w:t>HIV</w:t>
            </w:r>
            <w:r>
              <w:rPr>
                <w:rFonts w:hint="eastAsia"/>
                <w:sz w:val="18"/>
                <w:szCs w:val="18"/>
              </w:rPr>
              <w:t>抗体或</w:t>
            </w:r>
            <w:r>
              <w:rPr>
                <w:sz w:val="18"/>
                <w:szCs w:val="18"/>
              </w:rPr>
              <w:t>HIV</w:t>
            </w:r>
            <w:r>
              <w:rPr>
                <w:rFonts w:hint="eastAsia"/>
                <w:sz w:val="18"/>
                <w:szCs w:val="18"/>
              </w:rPr>
              <w:t>抗原抗体检测的稳定性，尽管每天实验室所检测的标本来自不同时间、不同献血者和（或）不同地点，但在一定时期内每个血站实验室该不合格率应有其相对稳定状态，一旦发现该指标出现显著波动，应追查原因，确定是检测过程异常还是其他原因如真阳性献血者增多。</w:t>
            </w:r>
          </w:p>
        </w:tc>
      </w:tr>
      <w:tr w:rsidR="00B37F7F" w14:paraId="7509D19E" w14:textId="77777777">
        <w:trPr>
          <w:jc w:val="center"/>
        </w:trPr>
        <w:tc>
          <w:tcPr>
            <w:tcW w:w="790" w:type="pct"/>
          </w:tcPr>
          <w:p w14:paraId="1EB04BDA" w14:textId="77777777" w:rsidR="00B37F7F" w:rsidRDefault="00000000">
            <w:pPr>
              <w:jc w:val="left"/>
              <w:rPr>
                <w:sz w:val="18"/>
                <w:szCs w:val="18"/>
              </w:rPr>
            </w:pPr>
            <w:r>
              <w:rPr>
                <w:sz w:val="18"/>
                <w:szCs w:val="18"/>
              </w:rPr>
              <w:t>HBsAg</w:t>
            </w:r>
            <w:r>
              <w:rPr>
                <w:rFonts w:hint="eastAsia"/>
                <w:sz w:val="18"/>
                <w:szCs w:val="18"/>
              </w:rPr>
              <w:t>检测不合格率</w:t>
            </w:r>
            <w:r>
              <w:rPr>
                <w:rFonts w:hAnsi="Calibri" w:hint="eastAsia"/>
                <w:szCs w:val="21"/>
              </w:rPr>
              <w:t>（</w:t>
            </w:r>
            <w:r>
              <w:rPr>
                <w:rFonts w:hAnsi="Calibri"/>
                <w:sz w:val="18"/>
                <w:szCs w:val="18"/>
              </w:rPr>
              <w:t>%</w:t>
            </w:r>
            <w:r>
              <w:rPr>
                <w:rFonts w:hAnsi="Calibri" w:hint="eastAsia"/>
                <w:szCs w:val="21"/>
              </w:rPr>
              <w:t>）</w:t>
            </w:r>
          </w:p>
        </w:tc>
        <w:tc>
          <w:tcPr>
            <w:tcW w:w="1743" w:type="pct"/>
          </w:tcPr>
          <w:p w14:paraId="6C5ABBDD" w14:textId="77777777" w:rsidR="00B37F7F" w:rsidRDefault="00000000">
            <w:pPr>
              <w:jc w:val="left"/>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HBsAg</m:t>
                    </m:r>
                    <m:r>
                      <m:rPr>
                        <m:sty m:val="p"/>
                      </m:rPr>
                      <w:rPr>
                        <w:rFonts w:ascii="Cambria Math" w:hAnsi="Cambria Math" w:hint="eastAsia"/>
                        <w:sz w:val="18"/>
                        <w:szCs w:val="18"/>
                      </w:rPr>
                      <m:t>检测不合格标本数</m:t>
                    </m:r>
                  </m:num>
                  <m:den>
                    <m:r>
                      <m:rPr>
                        <m:sty m:val="p"/>
                      </m:rPr>
                      <w:rPr>
                        <w:rFonts w:ascii="Cambria Math" w:hAnsi="Cambria Math" w:cs="Cambria Math" w:hint="eastAsia"/>
                        <w:sz w:val="18"/>
                        <w:szCs w:val="18"/>
                      </w:rPr>
                      <m:t>血清学检测标本数</m:t>
                    </m:r>
                  </m:den>
                </m:f>
                <m:r>
                  <m:rPr>
                    <m:sty m:val="p"/>
                  </m:rPr>
                  <w:rPr>
                    <w:rFonts w:ascii="Cambria Math" w:hAnsi="Cambria Math"/>
                    <w:sz w:val="18"/>
                    <w:szCs w:val="18"/>
                  </w:rPr>
                  <m:t>×100%</m:t>
                </m:r>
              </m:oMath>
            </m:oMathPara>
          </w:p>
        </w:tc>
        <w:tc>
          <w:tcPr>
            <w:tcW w:w="721" w:type="pct"/>
          </w:tcPr>
          <w:p w14:paraId="6FE60D09" w14:textId="77777777" w:rsidR="00B37F7F" w:rsidRDefault="00000000">
            <w:pPr>
              <w:jc w:val="left"/>
              <w:rPr>
                <w:sz w:val="18"/>
                <w:szCs w:val="18"/>
              </w:rPr>
            </w:pPr>
            <w:r>
              <w:rPr>
                <w:rFonts w:hint="eastAsia"/>
                <w:sz w:val="18"/>
                <w:szCs w:val="18"/>
              </w:rPr>
              <w:t>与</w:t>
            </w:r>
            <w:r>
              <w:rPr>
                <w:sz w:val="18"/>
                <w:szCs w:val="18"/>
              </w:rPr>
              <w:t>HBsAg</w:t>
            </w:r>
            <w:r>
              <w:rPr>
                <w:rFonts w:hint="eastAsia"/>
                <w:sz w:val="18"/>
                <w:szCs w:val="18"/>
              </w:rPr>
              <w:t>检测结果相关，反映</w:t>
            </w:r>
            <w:r>
              <w:rPr>
                <w:sz w:val="18"/>
                <w:szCs w:val="18"/>
              </w:rPr>
              <w:t>HBsAg</w:t>
            </w:r>
            <w:r>
              <w:rPr>
                <w:rFonts w:hint="eastAsia"/>
                <w:sz w:val="18"/>
                <w:szCs w:val="18"/>
              </w:rPr>
              <w:t>检测过程的稳定性。</w:t>
            </w:r>
          </w:p>
        </w:tc>
        <w:tc>
          <w:tcPr>
            <w:tcW w:w="1746" w:type="pct"/>
          </w:tcPr>
          <w:p w14:paraId="678F06EE" w14:textId="77777777" w:rsidR="00B37F7F" w:rsidRDefault="00000000">
            <w:pPr>
              <w:jc w:val="left"/>
              <w:rPr>
                <w:sz w:val="18"/>
                <w:szCs w:val="18"/>
              </w:rPr>
            </w:pPr>
            <w:r>
              <w:rPr>
                <w:rFonts w:hint="eastAsia"/>
                <w:sz w:val="18"/>
                <w:szCs w:val="18"/>
              </w:rPr>
              <w:t>该指标反映实验室</w:t>
            </w:r>
            <w:r>
              <w:rPr>
                <w:sz w:val="18"/>
                <w:szCs w:val="18"/>
              </w:rPr>
              <w:t>HBsAg</w:t>
            </w:r>
            <w:r>
              <w:rPr>
                <w:rFonts w:hint="eastAsia"/>
                <w:sz w:val="18"/>
                <w:szCs w:val="18"/>
              </w:rPr>
              <w:t>检测的稳定性，尽管每天实验室所检测的标本来自不同时间、不同献血者和（或）不同地点，但在一定时期内每个血站实验室该不合格率应有其相对稳定状态，一旦发现该指标出现显著波动，应追查原因，确定是检测过程异常还是其他原因如真阳性献血者增多。</w:t>
            </w:r>
          </w:p>
        </w:tc>
      </w:tr>
      <w:tr w:rsidR="00B37F7F" w14:paraId="4A9B90EC" w14:textId="77777777">
        <w:trPr>
          <w:jc w:val="center"/>
        </w:trPr>
        <w:tc>
          <w:tcPr>
            <w:tcW w:w="790" w:type="pct"/>
          </w:tcPr>
          <w:p w14:paraId="14BB8F97" w14:textId="77777777" w:rsidR="00B37F7F" w:rsidRDefault="00000000">
            <w:pPr>
              <w:jc w:val="left"/>
              <w:rPr>
                <w:sz w:val="18"/>
                <w:szCs w:val="18"/>
              </w:rPr>
            </w:pPr>
            <w:r>
              <w:rPr>
                <w:sz w:val="18"/>
                <w:szCs w:val="18"/>
              </w:rPr>
              <w:t>HCV</w:t>
            </w:r>
            <w:r>
              <w:rPr>
                <w:rFonts w:hint="eastAsia"/>
                <w:sz w:val="18"/>
                <w:szCs w:val="18"/>
              </w:rPr>
              <w:t>抗体检测不合格率</w:t>
            </w:r>
            <w:r>
              <w:rPr>
                <w:rFonts w:hAnsi="Calibri" w:hint="eastAsia"/>
                <w:szCs w:val="21"/>
              </w:rPr>
              <w:t>（</w:t>
            </w:r>
            <w:r>
              <w:rPr>
                <w:rFonts w:hAnsi="Calibri"/>
                <w:sz w:val="18"/>
                <w:szCs w:val="18"/>
              </w:rPr>
              <w:t>%</w:t>
            </w:r>
            <w:r>
              <w:rPr>
                <w:rFonts w:hAnsi="Calibri" w:hint="eastAsia"/>
                <w:szCs w:val="21"/>
              </w:rPr>
              <w:t>）</w:t>
            </w:r>
          </w:p>
        </w:tc>
        <w:tc>
          <w:tcPr>
            <w:tcW w:w="1743" w:type="pct"/>
          </w:tcPr>
          <w:p w14:paraId="7A804AA0" w14:textId="77777777" w:rsidR="00B37F7F" w:rsidRDefault="00000000">
            <w:pPr>
              <w:jc w:val="left"/>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HCV</m:t>
                    </m:r>
                    <m:r>
                      <m:rPr>
                        <m:sty m:val="p"/>
                      </m:rPr>
                      <w:rPr>
                        <w:rFonts w:ascii="Cambria Math" w:hAnsi="Cambria Math" w:hint="eastAsia"/>
                        <w:sz w:val="18"/>
                        <w:szCs w:val="18"/>
                      </w:rPr>
                      <m:t>抗体检测不合格标本数</m:t>
                    </m:r>
                  </m:num>
                  <m:den>
                    <m:r>
                      <m:rPr>
                        <m:sty m:val="p"/>
                      </m:rPr>
                      <w:rPr>
                        <w:rFonts w:ascii="Cambria Math" w:hAnsi="Cambria Math" w:cs="Cambria Math" w:hint="eastAsia"/>
                        <w:sz w:val="18"/>
                        <w:szCs w:val="18"/>
                      </w:rPr>
                      <m:t>血清学检测标本数</m:t>
                    </m:r>
                  </m:den>
                </m:f>
                <m:r>
                  <w:rPr>
                    <w:rFonts w:ascii="Cambria Math" w:hAnsi="Cambria Math"/>
                    <w:sz w:val="18"/>
                    <w:szCs w:val="18"/>
                  </w:rPr>
                  <m:t>×100%</m:t>
                </m:r>
              </m:oMath>
            </m:oMathPara>
          </w:p>
        </w:tc>
        <w:tc>
          <w:tcPr>
            <w:tcW w:w="721" w:type="pct"/>
          </w:tcPr>
          <w:p w14:paraId="26BBD3DD" w14:textId="77777777" w:rsidR="00B37F7F" w:rsidRDefault="00000000">
            <w:pPr>
              <w:jc w:val="left"/>
              <w:rPr>
                <w:sz w:val="18"/>
                <w:szCs w:val="18"/>
              </w:rPr>
            </w:pPr>
            <w:r>
              <w:rPr>
                <w:rFonts w:hint="eastAsia"/>
                <w:sz w:val="18"/>
                <w:szCs w:val="18"/>
              </w:rPr>
              <w:t>与</w:t>
            </w:r>
            <w:r>
              <w:rPr>
                <w:sz w:val="18"/>
                <w:szCs w:val="18"/>
              </w:rPr>
              <w:t>HCV</w:t>
            </w:r>
            <w:r>
              <w:rPr>
                <w:rFonts w:hint="eastAsia"/>
                <w:sz w:val="18"/>
                <w:szCs w:val="18"/>
              </w:rPr>
              <w:t>抗体检测结果相关，反映</w:t>
            </w:r>
            <w:r>
              <w:rPr>
                <w:sz w:val="18"/>
                <w:szCs w:val="18"/>
              </w:rPr>
              <w:t>HCV</w:t>
            </w:r>
            <w:r>
              <w:rPr>
                <w:rFonts w:hint="eastAsia"/>
                <w:sz w:val="18"/>
                <w:szCs w:val="18"/>
              </w:rPr>
              <w:t>抗体检测过程的稳定性。</w:t>
            </w:r>
          </w:p>
        </w:tc>
        <w:tc>
          <w:tcPr>
            <w:tcW w:w="1746" w:type="pct"/>
          </w:tcPr>
          <w:p w14:paraId="0EBB82F4" w14:textId="77777777" w:rsidR="00B37F7F" w:rsidRDefault="00000000">
            <w:pPr>
              <w:jc w:val="left"/>
              <w:rPr>
                <w:sz w:val="18"/>
                <w:szCs w:val="18"/>
              </w:rPr>
            </w:pPr>
            <w:r>
              <w:rPr>
                <w:rFonts w:hint="eastAsia"/>
                <w:sz w:val="18"/>
                <w:szCs w:val="18"/>
              </w:rPr>
              <w:t>该指标反映实验室</w:t>
            </w:r>
            <w:r>
              <w:rPr>
                <w:sz w:val="18"/>
                <w:szCs w:val="18"/>
              </w:rPr>
              <w:t>HCV</w:t>
            </w:r>
            <w:r>
              <w:rPr>
                <w:rFonts w:hint="eastAsia"/>
                <w:sz w:val="18"/>
                <w:szCs w:val="18"/>
              </w:rPr>
              <w:t>抗体检测的稳定性，尽管每天实验室所检测的标本来自不同时间、不同献血者和（或）不同地点，但在一定时期内每个血站实验室该不合格率应有其相对稳定状态，一旦发现该指标出现显著波动，应追查原因，确定是检测过程异常还是其他原因如真阳性献血者增多。</w:t>
            </w:r>
          </w:p>
        </w:tc>
      </w:tr>
      <w:tr w:rsidR="00B37F7F" w14:paraId="7295584B" w14:textId="77777777">
        <w:trPr>
          <w:jc w:val="center"/>
        </w:trPr>
        <w:tc>
          <w:tcPr>
            <w:tcW w:w="790" w:type="pct"/>
          </w:tcPr>
          <w:p w14:paraId="4D13961C" w14:textId="77777777" w:rsidR="00B37F7F" w:rsidRDefault="00000000">
            <w:pPr>
              <w:jc w:val="left"/>
              <w:rPr>
                <w:sz w:val="18"/>
                <w:szCs w:val="18"/>
              </w:rPr>
            </w:pPr>
            <w:r>
              <w:rPr>
                <w:sz w:val="18"/>
                <w:szCs w:val="18"/>
              </w:rPr>
              <w:t>TP</w:t>
            </w:r>
            <w:r>
              <w:rPr>
                <w:rFonts w:hint="eastAsia"/>
                <w:sz w:val="18"/>
                <w:szCs w:val="18"/>
              </w:rPr>
              <w:t>抗体检测不合格率</w:t>
            </w:r>
            <w:r>
              <w:rPr>
                <w:rFonts w:hAnsi="Calibri" w:hint="eastAsia"/>
                <w:szCs w:val="21"/>
              </w:rPr>
              <w:t>（</w:t>
            </w:r>
            <w:r>
              <w:rPr>
                <w:rFonts w:hAnsi="Calibri"/>
                <w:sz w:val="18"/>
                <w:szCs w:val="18"/>
              </w:rPr>
              <w:t>%</w:t>
            </w:r>
            <w:r>
              <w:rPr>
                <w:rFonts w:hAnsi="Calibri" w:hint="eastAsia"/>
                <w:szCs w:val="21"/>
              </w:rPr>
              <w:t>）</w:t>
            </w:r>
          </w:p>
        </w:tc>
        <w:tc>
          <w:tcPr>
            <w:tcW w:w="1743" w:type="pct"/>
          </w:tcPr>
          <w:p w14:paraId="03728AFD" w14:textId="77777777" w:rsidR="00B37F7F" w:rsidRDefault="00000000">
            <w:pPr>
              <w:jc w:val="left"/>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TP</m:t>
                    </m:r>
                    <m:r>
                      <m:rPr>
                        <m:sty m:val="p"/>
                      </m:rPr>
                      <w:rPr>
                        <w:rFonts w:ascii="Cambria Math" w:hAnsi="Cambria Math" w:hint="eastAsia"/>
                        <w:sz w:val="18"/>
                        <w:szCs w:val="18"/>
                      </w:rPr>
                      <m:t>抗体检测不合格标本数</m:t>
                    </m:r>
                  </m:num>
                  <m:den>
                    <m:r>
                      <m:rPr>
                        <m:sty m:val="p"/>
                      </m:rPr>
                      <w:rPr>
                        <w:rFonts w:ascii="Cambria Math" w:hAnsi="Cambria Math" w:cs="Cambria Math" w:hint="eastAsia"/>
                        <w:sz w:val="18"/>
                        <w:szCs w:val="18"/>
                      </w:rPr>
                      <m:t>血清学检测标本数</m:t>
                    </m:r>
                  </m:den>
                </m:f>
                <m:r>
                  <m:rPr>
                    <m:sty m:val="p"/>
                  </m:rPr>
                  <w:rPr>
                    <w:rFonts w:ascii="Cambria Math" w:hAnsi="Cambria Math"/>
                    <w:sz w:val="18"/>
                    <w:szCs w:val="18"/>
                  </w:rPr>
                  <m:t>×100%</m:t>
                </m:r>
              </m:oMath>
            </m:oMathPara>
          </w:p>
        </w:tc>
        <w:tc>
          <w:tcPr>
            <w:tcW w:w="721" w:type="pct"/>
          </w:tcPr>
          <w:p w14:paraId="5C4AC514" w14:textId="77777777" w:rsidR="00B37F7F" w:rsidRDefault="00000000">
            <w:pPr>
              <w:jc w:val="left"/>
              <w:rPr>
                <w:sz w:val="18"/>
                <w:szCs w:val="18"/>
              </w:rPr>
            </w:pPr>
            <w:r>
              <w:rPr>
                <w:rFonts w:hint="eastAsia"/>
                <w:sz w:val="18"/>
                <w:szCs w:val="18"/>
              </w:rPr>
              <w:t>与</w:t>
            </w:r>
            <w:r>
              <w:rPr>
                <w:sz w:val="18"/>
                <w:szCs w:val="18"/>
              </w:rPr>
              <w:t>TP</w:t>
            </w:r>
            <w:r>
              <w:rPr>
                <w:rFonts w:hint="eastAsia"/>
                <w:sz w:val="18"/>
                <w:szCs w:val="18"/>
              </w:rPr>
              <w:t>抗体检测结果相关，反映</w:t>
            </w:r>
            <w:r>
              <w:rPr>
                <w:sz w:val="18"/>
                <w:szCs w:val="18"/>
              </w:rPr>
              <w:t>TP</w:t>
            </w:r>
            <w:r>
              <w:rPr>
                <w:rFonts w:hint="eastAsia"/>
                <w:sz w:val="18"/>
                <w:szCs w:val="18"/>
              </w:rPr>
              <w:t>抗体检测过程的稳定性。</w:t>
            </w:r>
          </w:p>
        </w:tc>
        <w:tc>
          <w:tcPr>
            <w:tcW w:w="1746" w:type="pct"/>
          </w:tcPr>
          <w:p w14:paraId="3B7780CF" w14:textId="77777777" w:rsidR="00B37F7F" w:rsidRDefault="00000000">
            <w:pPr>
              <w:jc w:val="left"/>
              <w:rPr>
                <w:sz w:val="18"/>
                <w:szCs w:val="18"/>
              </w:rPr>
            </w:pPr>
            <w:r>
              <w:rPr>
                <w:rFonts w:hint="eastAsia"/>
                <w:sz w:val="18"/>
                <w:szCs w:val="18"/>
              </w:rPr>
              <w:t>该指标反映实验室</w:t>
            </w:r>
            <w:r>
              <w:rPr>
                <w:sz w:val="18"/>
                <w:szCs w:val="18"/>
              </w:rPr>
              <w:t>TP</w:t>
            </w:r>
            <w:r>
              <w:rPr>
                <w:rFonts w:hint="eastAsia"/>
                <w:sz w:val="18"/>
                <w:szCs w:val="18"/>
              </w:rPr>
              <w:t>抗体检测的稳定性，尽管每天实验室所检测的标本来自不同时间、不同献血者和（或）不同地点，但在一定时期内每个血站实验室该不合格率应有其相对稳定状态，一旦发现该指标出现显著波动，应追查原因，确定是检测过程异常还是其他原因如真阳性献血者增多。</w:t>
            </w:r>
          </w:p>
        </w:tc>
      </w:tr>
      <w:tr w:rsidR="00B37F7F" w14:paraId="5248C3AF" w14:textId="77777777">
        <w:trPr>
          <w:jc w:val="center"/>
        </w:trPr>
        <w:tc>
          <w:tcPr>
            <w:tcW w:w="790" w:type="pct"/>
          </w:tcPr>
          <w:p w14:paraId="66691FF1" w14:textId="77777777" w:rsidR="00B37F7F" w:rsidRDefault="00000000">
            <w:pPr>
              <w:jc w:val="left"/>
              <w:rPr>
                <w:sz w:val="18"/>
                <w:szCs w:val="18"/>
              </w:rPr>
            </w:pPr>
            <w:r>
              <w:rPr>
                <w:sz w:val="18"/>
                <w:szCs w:val="18"/>
              </w:rPr>
              <w:t>NAT</w:t>
            </w:r>
            <w:r>
              <w:rPr>
                <w:rFonts w:hint="eastAsia"/>
                <w:sz w:val="18"/>
                <w:szCs w:val="18"/>
              </w:rPr>
              <w:t>检测不合格率</w:t>
            </w:r>
            <w:r>
              <w:rPr>
                <w:rFonts w:hAnsi="Calibri" w:hint="eastAsia"/>
                <w:szCs w:val="21"/>
              </w:rPr>
              <w:t>（</w:t>
            </w:r>
            <w:r>
              <w:rPr>
                <w:rFonts w:hAnsi="Calibri"/>
                <w:sz w:val="18"/>
                <w:szCs w:val="18"/>
              </w:rPr>
              <w:t>%</w:t>
            </w:r>
            <w:r>
              <w:rPr>
                <w:rFonts w:hAnsi="Calibri" w:hint="eastAsia"/>
                <w:szCs w:val="21"/>
              </w:rPr>
              <w:t>）</w:t>
            </w:r>
          </w:p>
        </w:tc>
        <w:tc>
          <w:tcPr>
            <w:tcW w:w="1743" w:type="pct"/>
          </w:tcPr>
          <w:p w14:paraId="69FB5390" w14:textId="77777777" w:rsidR="00B37F7F" w:rsidRDefault="00000000">
            <w:pPr>
              <w:jc w:val="left"/>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NAT</m:t>
                    </m:r>
                    <m:r>
                      <m:rPr>
                        <m:sty m:val="p"/>
                      </m:rPr>
                      <w:rPr>
                        <w:rFonts w:ascii="Cambria Math" w:hAnsi="Cambria Math" w:hint="eastAsia"/>
                        <w:sz w:val="18"/>
                        <w:szCs w:val="18"/>
                      </w:rPr>
                      <m:t>检测不合格标本数</m:t>
                    </m:r>
                  </m:num>
                  <m:den>
                    <m:r>
                      <m:rPr>
                        <m:sty m:val="p"/>
                      </m:rPr>
                      <w:rPr>
                        <w:rFonts w:ascii="Cambria Math" w:hAnsi="Cambria Math" w:cs="Cambria Math"/>
                        <w:sz w:val="18"/>
                        <w:szCs w:val="18"/>
                      </w:rPr>
                      <m:t>NAT</m:t>
                    </m:r>
                    <m:r>
                      <m:rPr>
                        <m:sty m:val="p"/>
                      </m:rPr>
                      <w:rPr>
                        <w:rFonts w:ascii="Cambria Math" w:hAnsi="Cambria Math" w:cs="Cambria Math" w:hint="eastAsia"/>
                        <w:sz w:val="18"/>
                        <w:szCs w:val="18"/>
                      </w:rPr>
                      <m:t>检测标本数</m:t>
                    </m:r>
                  </m:den>
                </m:f>
                <m:r>
                  <m:rPr>
                    <m:sty m:val="p"/>
                  </m:rPr>
                  <w:rPr>
                    <w:rFonts w:ascii="Cambria Math" w:hAnsi="Cambria Math"/>
                    <w:sz w:val="18"/>
                    <w:szCs w:val="18"/>
                  </w:rPr>
                  <m:t>×100%</m:t>
                </m:r>
              </m:oMath>
            </m:oMathPara>
          </w:p>
        </w:tc>
        <w:tc>
          <w:tcPr>
            <w:tcW w:w="721" w:type="pct"/>
          </w:tcPr>
          <w:p w14:paraId="69C1B48B" w14:textId="77777777" w:rsidR="00B37F7F" w:rsidRDefault="00000000">
            <w:pPr>
              <w:jc w:val="left"/>
              <w:rPr>
                <w:sz w:val="18"/>
                <w:szCs w:val="18"/>
              </w:rPr>
            </w:pPr>
            <w:r>
              <w:rPr>
                <w:rFonts w:hint="eastAsia"/>
                <w:sz w:val="18"/>
                <w:szCs w:val="18"/>
              </w:rPr>
              <w:t>与</w:t>
            </w:r>
            <w:r>
              <w:rPr>
                <w:sz w:val="18"/>
                <w:szCs w:val="18"/>
              </w:rPr>
              <w:t>NAT</w:t>
            </w:r>
            <w:r>
              <w:rPr>
                <w:rFonts w:hint="eastAsia"/>
                <w:sz w:val="18"/>
                <w:szCs w:val="18"/>
              </w:rPr>
              <w:t>检测结果相关，反映</w:t>
            </w:r>
            <w:r>
              <w:rPr>
                <w:sz w:val="18"/>
                <w:szCs w:val="18"/>
              </w:rPr>
              <w:t>NAT</w:t>
            </w:r>
            <w:r>
              <w:rPr>
                <w:rFonts w:hint="eastAsia"/>
                <w:sz w:val="18"/>
                <w:szCs w:val="18"/>
              </w:rPr>
              <w:t>检测</w:t>
            </w:r>
            <w:r>
              <w:rPr>
                <w:rFonts w:hint="eastAsia"/>
                <w:sz w:val="18"/>
                <w:szCs w:val="18"/>
              </w:rPr>
              <w:lastRenderedPageBreak/>
              <w:t>过程的稳定性。</w:t>
            </w:r>
          </w:p>
        </w:tc>
        <w:tc>
          <w:tcPr>
            <w:tcW w:w="1746" w:type="pct"/>
          </w:tcPr>
          <w:p w14:paraId="473834A7" w14:textId="77777777" w:rsidR="00B37F7F" w:rsidRDefault="00000000">
            <w:pPr>
              <w:jc w:val="left"/>
              <w:rPr>
                <w:sz w:val="18"/>
                <w:szCs w:val="18"/>
              </w:rPr>
            </w:pPr>
            <w:r>
              <w:rPr>
                <w:rFonts w:hint="eastAsia"/>
                <w:sz w:val="18"/>
                <w:szCs w:val="18"/>
              </w:rPr>
              <w:lastRenderedPageBreak/>
              <w:t>该指标反映实验室</w:t>
            </w:r>
            <w:r>
              <w:rPr>
                <w:sz w:val="18"/>
                <w:szCs w:val="18"/>
              </w:rPr>
              <w:t>NAT</w:t>
            </w:r>
            <w:r>
              <w:rPr>
                <w:rFonts w:hint="eastAsia"/>
                <w:sz w:val="18"/>
                <w:szCs w:val="18"/>
              </w:rPr>
              <w:t>检测的稳定性，尽管每天实验室所检测的标本来自不同时间、不同献血者和（或）不</w:t>
            </w:r>
            <w:r>
              <w:rPr>
                <w:rFonts w:hint="eastAsia"/>
                <w:sz w:val="18"/>
                <w:szCs w:val="18"/>
              </w:rPr>
              <w:lastRenderedPageBreak/>
              <w:t>同地点，但在一定时期内每个血站实验室该不合格率应有其相对稳定状态，一旦发现该指标出现显著波动，应追查原因，确定是检测过程异常还是其他原因如真阳性献血者增多。</w:t>
            </w:r>
          </w:p>
        </w:tc>
      </w:tr>
    </w:tbl>
    <w:p w14:paraId="4C87E252" w14:textId="77777777" w:rsidR="00B37F7F" w:rsidRDefault="00B37F7F">
      <w:pPr>
        <w:pStyle w:val="af4"/>
        <w:numPr>
          <w:ilvl w:val="0"/>
          <w:numId w:val="0"/>
        </w:numPr>
        <w:spacing w:before="156" w:after="156"/>
        <w:jc w:val="both"/>
        <w:rPr>
          <w:rFonts w:ascii="Times New Roman"/>
        </w:rPr>
      </w:pPr>
    </w:p>
    <w:p w14:paraId="14024426" w14:textId="77777777" w:rsidR="00B37F7F" w:rsidRDefault="00000000">
      <w:pPr>
        <w:pStyle w:val="af4"/>
        <w:spacing w:before="156" w:after="156"/>
        <w:rPr>
          <w:rFonts w:ascii="Times New Roman"/>
        </w:rPr>
      </w:pPr>
      <w:r>
        <w:rPr>
          <w:rFonts w:ascii="Times New Roman" w:hint="eastAsia"/>
        </w:rPr>
        <w:t>检测前质量监测指标</w:t>
      </w:r>
    </w:p>
    <w:tbl>
      <w:tblPr>
        <w:tblW w:w="132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117"/>
        <w:gridCol w:w="4536"/>
        <w:gridCol w:w="1984"/>
        <w:gridCol w:w="4602"/>
      </w:tblGrid>
      <w:tr w:rsidR="00B37F7F" w14:paraId="67DFFC10" w14:textId="77777777">
        <w:trPr>
          <w:trHeight w:val="598"/>
          <w:jc w:val="center"/>
        </w:trPr>
        <w:tc>
          <w:tcPr>
            <w:tcW w:w="2117" w:type="dxa"/>
          </w:tcPr>
          <w:p w14:paraId="35FD2FE9"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质量监测指标</w:t>
            </w:r>
          </w:p>
        </w:tc>
        <w:tc>
          <w:tcPr>
            <w:tcW w:w="4536" w:type="dxa"/>
          </w:tcPr>
          <w:p w14:paraId="4D23C9C5"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计算方法</w:t>
            </w:r>
          </w:p>
        </w:tc>
        <w:tc>
          <w:tcPr>
            <w:tcW w:w="1984" w:type="dxa"/>
          </w:tcPr>
          <w:p w14:paraId="71007962"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意义</w:t>
            </w:r>
          </w:p>
        </w:tc>
        <w:tc>
          <w:tcPr>
            <w:tcW w:w="4602" w:type="dxa"/>
          </w:tcPr>
          <w:p w14:paraId="3A3D973E"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解释</w:t>
            </w:r>
          </w:p>
        </w:tc>
      </w:tr>
      <w:tr w:rsidR="00B37F7F" w14:paraId="43E62A38" w14:textId="77777777">
        <w:trPr>
          <w:trHeight w:val="867"/>
          <w:jc w:val="center"/>
        </w:trPr>
        <w:tc>
          <w:tcPr>
            <w:tcW w:w="2117" w:type="dxa"/>
          </w:tcPr>
          <w:p w14:paraId="16D5EA26" w14:textId="77777777" w:rsidR="00B37F7F" w:rsidRDefault="00000000">
            <w:pPr>
              <w:rPr>
                <w:sz w:val="18"/>
                <w:szCs w:val="18"/>
              </w:rPr>
            </w:pPr>
            <w:bookmarkStart w:id="44" w:name="OLE_LINK1"/>
            <w:r>
              <w:rPr>
                <w:rFonts w:hint="eastAsia"/>
                <w:sz w:val="18"/>
                <w:szCs w:val="18"/>
              </w:rPr>
              <w:t>标本质量不合格率</w:t>
            </w:r>
            <w:bookmarkEnd w:id="44"/>
            <w:r>
              <w:rPr>
                <w:sz w:val="18"/>
                <w:szCs w:val="18"/>
              </w:rPr>
              <w:t>(</w:t>
            </w:r>
            <w:r>
              <w:rPr>
                <w:rFonts w:eastAsia="MS Mincho"/>
                <w:sz w:val="18"/>
                <w:szCs w:val="18"/>
              </w:rPr>
              <w:t>‱</w:t>
            </w:r>
            <w:r>
              <w:rPr>
                <w:rFonts w:eastAsiaTheme="minorEastAsia"/>
                <w:sz w:val="18"/>
                <w:szCs w:val="18"/>
              </w:rPr>
              <w:t>)</w:t>
            </w:r>
          </w:p>
        </w:tc>
        <w:tc>
          <w:tcPr>
            <w:tcW w:w="4536" w:type="dxa"/>
          </w:tcPr>
          <w:p w14:paraId="278482B5"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质量不合格标本数</m:t>
                    </m:r>
                  </m:num>
                  <m:den>
                    <m:r>
                      <m:rPr>
                        <m:sty m:val="p"/>
                      </m:rPr>
                      <w:rPr>
                        <w:rFonts w:ascii="Cambria Math" w:hAnsi="Cambria Math" w:hint="eastAsia"/>
                        <w:sz w:val="18"/>
                        <w:szCs w:val="18"/>
                      </w:rPr>
                      <m:t>标本总数</m:t>
                    </m:r>
                  </m:den>
                </m:f>
                <m:r>
                  <m:rPr>
                    <m:sty m:val="p"/>
                  </m:rPr>
                  <w:rPr>
                    <w:rFonts w:ascii="Cambria Math" w:hAnsi="Cambria Math"/>
                    <w:sz w:val="18"/>
                    <w:szCs w:val="18"/>
                  </w:rPr>
                  <m:t>×</m:t>
                </m:r>
                <m:r>
                  <m:rPr>
                    <m:sty m:val="p"/>
                  </m:rPr>
                  <w:rPr>
                    <w:rFonts w:ascii="Cambria Math" w:hAnsi="Cambria Math" w:hint="eastAsia"/>
                    <w:sz w:val="18"/>
                    <w:szCs w:val="18"/>
                  </w:rPr>
                  <m:t>1</m:t>
                </m:r>
                <m:r>
                  <m:rPr>
                    <m:sty m:val="p"/>
                  </m:rPr>
                  <w:rPr>
                    <w:rFonts w:ascii="Cambria Math" w:hAnsi="Cambria Math"/>
                    <w:sz w:val="18"/>
                    <w:szCs w:val="18"/>
                  </w:rPr>
                  <m:t>0</m:t>
                </m:r>
                <m:r>
                  <m:rPr>
                    <m:sty m:val="p"/>
                  </m:rPr>
                  <w:rPr>
                    <w:rFonts w:ascii="Cambria Math" w:hAnsi="Cambria Math" w:hint="eastAsia"/>
                    <w:sz w:val="18"/>
                    <w:szCs w:val="18"/>
                  </w:rPr>
                  <m:t>0</m:t>
                </m:r>
                <m:r>
                  <m:rPr>
                    <m:sty m:val="p"/>
                  </m:rPr>
                  <w:rPr>
                    <w:rFonts w:ascii="Cambria Math" w:hAnsi="Cambria Math"/>
                    <w:sz w:val="18"/>
                    <w:szCs w:val="18"/>
                  </w:rPr>
                  <m:t>0</m:t>
                </m:r>
                <m:r>
                  <m:rPr>
                    <m:sty m:val="p"/>
                  </m:rPr>
                  <w:rPr>
                    <w:rFonts w:ascii="Cambria Math" w:hAnsi="Cambria Math" w:hint="eastAsia"/>
                    <w:sz w:val="18"/>
                    <w:szCs w:val="18"/>
                  </w:rPr>
                  <m:t>0</m:t>
                </m:r>
                <m:r>
                  <m:rPr>
                    <m:sty m:val="p"/>
                  </m:rPr>
                  <w:rPr>
                    <w:rFonts w:eastAsia="MS Mincho"/>
                    <w:sz w:val="18"/>
                    <w:szCs w:val="18"/>
                  </w:rPr>
                  <m:t>‱</m:t>
                </m:r>
              </m:oMath>
            </m:oMathPara>
          </w:p>
        </w:tc>
        <w:tc>
          <w:tcPr>
            <w:tcW w:w="1984" w:type="dxa"/>
          </w:tcPr>
          <w:p w14:paraId="2197177F" w14:textId="77777777" w:rsidR="00B37F7F" w:rsidRDefault="00000000">
            <w:pPr>
              <w:jc w:val="left"/>
              <w:rPr>
                <w:sz w:val="18"/>
                <w:szCs w:val="18"/>
              </w:rPr>
            </w:pPr>
            <w:r>
              <w:rPr>
                <w:rFonts w:hint="eastAsia"/>
                <w:sz w:val="18"/>
                <w:szCs w:val="18"/>
              </w:rPr>
              <w:t>与标本质量有关，反映检测前过程的稳定性。</w:t>
            </w:r>
          </w:p>
        </w:tc>
        <w:tc>
          <w:tcPr>
            <w:tcW w:w="4602" w:type="dxa"/>
          </w:tcPr>
          <w:p w14:paraId="3C6D3063" w14:textId="77777777" w:rsidR="00B37F7F" w:rsidRDefault="00000000">
            <w:pPr>
              <w:jc w:val="left"/>
              <w:rPr>
                <w:sz w:val="18"/>
                <w:szCs w:val="18"/>
              </w:rPr>
            </w:pPr>
            <w:r>
              <w:rPr>
                <w:rFonts w:hint="eastAsia"/>
                <w:sz w:val="18"/>
                <w:szCs w:val="18"/>
              </w:rPr>
              <w:t>该指标反映实验室质量不合格标本的总体水平。标本质量不合格原因包括但不限于溶血、乳糜、容量不足、血细胞比容异常，根据实验室具体情况填写。鉴于该指标数值较低，宜用万分率表示。该指标属于低优指标，指标值越低越好。</w:t>
            </w:r>
          </w:p>
        </w:tc>
      </w:tr>
      <w:tr w:rsidR="00B37F7F" w14:paraId="744D02B5" w14:textId="77777777">
        <w:trPr>
          <w:trHeight w:val="1507"/>
          <w:jc w:val="center"/>
        </w:trPr>
        <w:tc>
          <w:tcPr>
            <w:tcW w:w="2117" w:type="dxa"/>
          </w:tcPr>
          <w:p w14:paraId="6FEE8187" w14:textId="77777777" w:rsidR="00B37F7F" w:rsidRDefault="00000000">
            <w:pPr>
              <w:pStyle w:val="affff1"/>
              <w:spacing w:before="156" w:after="156"/>
              <w:jc w:val="both"/>
              <w:rPr>
                <w:rFonts w:asciiTheme="minorEastAsia" w:eastAsiaTheme="minorEastAsia" w:hAnsiTheme="minorEastAsia" w:hint="eastAsia"/>
                <w:sz w:val="18"/>
                <w:szCs w:val="18"/>
              </w:rPr>
            </w:pPr>
            <w:r>
              <w:rPr>
                <w:rFonts w:asciiTheme="minorEastAsia" w:eastAsiaTheme="minorEastAsia" w:hAnsiTheme="minorEastAsia" w:hint="eastAsia"/>
                <w:sz w:val="18"/>
                <w:szCs w:val="18"/>
              </w:rPr>
              <w:t>标本质量不合格指数率</w:t>
            </w:r>
            <w:r>
              <w:rPr>
                <w:sz w:val="18"/>
                <w:szCs w:val="18"/>
              </w:rPr>
              <w:t>(</w:t>
            </w:r>
            <w:r>
              <w:rPr>
                <w:rFonts w:ascii="Times New Roman" w:eastAsia="MS Mincho"/>
                <w:sz w:val="18"/>
                <w:szCs w:val="18"/>
              </w:rPr>
              <w:t>‱</w:t>
            </w:r>
            <w:r>
              <w:rPr>
                <w:rFonts w:eastAsiaTheme="minorEastAsia"/>
                <w:sz w:val="18"/>
                <w:szCs w:val="18"/>
              </w:rPr>
              <w:t>)</w:t>
            </w:r>
          </w:p>
        </w:tc>
        <w:tc>
          <w:tcPr>
            <w:tcW w:w="4536" w:type="dxa"/>
          </w:tcPr>
          <w:p w14:paraId="2BEC1A6B" w14:textId="77777777" w:rsidR="00B37F7F" w:rsidRDefault="00000000">
            <w:pPr>
              <w:pStyle w:val="affff1"/>
              <w:spacing w:before="156" w:after="156"/>
              <w:jc w:val="center"/>
              <w:rPr>
                <w:rFonts w:asciiTheme="minorEastAsia" w:eastAsiaTheme="minorEastAsia" w:hAnsiTheme="minorEastAsia" w:hint="eastAsia"/>
                <w:sz w:val="18"/>
                <w:szCs w:val="18"/>
              </w:rPr>
            </w:pPr>
            <m:oMathPara>
              <m:oMathParaPr>
                <m:jc m:val="left"/>
              </m:oMathParaPr>
              <m:oMath>
                <m:f>
                  <m:fPr>
                    <m:ctrlPr>
                      <w:rPr>
                        <w:rFonts w:ascii="Cambria Math" w:eastAsiaTheme="minorEastAsia" w:hAnsi="Cambria Math"/>
                        <w:sz w:val="18"/>
                        <w:szCs w:val="18"/>
                      </w:rPr>
                    </m:ctrlPr>
                  </m:fPr>
                  <m:num>
                    <m:r>
                      <m:rPr>
                        <m:sty m:val="p"/>
                      </m:rPr>
                      <w:rPr>
                        <w:rFonts w:ascii="Cambria Math" w:eastAsiaTheme="minorEastAsia" w:hAnsi="Cambria Math" w:hint="eastAsia"/>
                        <w:sz w:val="18"/>
                        <w:szCs w:val="18"/>
                      </w:rPr>
                      <m:t>∑质量不合格标本总数</m:t>
                    </m:r>
                    <m:r>
                      <m:rPr>
                        <m:sty m:val="p"/>
                      </m:rPr>
                      <w:rPr>
                        <w:rFonts w:ascii="Cambria Math" w:eastAsiaTheme="minorEastAsia" w:hAnsi="Cambria Math"/>
                        <w:sz w:val="18"/>
                        <w:szCs w:val="18"/>
                      </w:rPr>
                      <m:t>×</m:t>
                    </m:r>
                    <m:r>
                      <m:rPr>
                        <m:sty m:val="p"/>
                      </m:rPr>
                      <w:rPr>
                        <w:rFonts w:ascii="Cambria Math" w:eastAsiaTheme="minorEastAsia" w:hAnsi="Cambria Math" w:hint="eastAsia"/>
                        <w:sz w:val="18"/>
                        <w:szCs w:val="18"/>
                      </w:rPr>
                      <m:t>∑质量不合格原因总数</m:t>
                    </m:r>
                  </m:num>
                  <m:den>
                    <m:r>
                      <m:rPr>
                        <m:sty m:val="p"/>
                      </m:rPr>
                      <w:rPr>
                        <w:rFonts w:ascii="Cambria Math" w:eastAsiaTheme="minorEastAsia" w:hAnsi="Cambria Math" w:hint="eastAsia"/>
                        <w:sz w:val="18"/>
                        <w:szCs w:val="18"/>
                      </w:rPr>
                      <m:t>标本总数</m:t>
                    </m:r>
                  </m:den>
                </m:f>
                <m:r>
                  <m:rPr>
                    <m:sty m:val="p"/>
                  </m:rPr>
                  <w:rPr>
                    <w:rFonts w:ascii="Cambria Math" w:hAnsi="Cambria Math"/>
                    <w:sz w:val="18"/>
                    <w:szCs w:val="18"/>
                  </w:rPr>
                  <m:t>×</m:t>
                </m:r>
                <m:r>
                  <m:rPr>
                    <m:sty m:val="p"/>
                  </m:rPr>
                  <w:rPr>
                    <w:rFonts w:ascii="Cambria Math" w:hAnsi="Cambria Math" w:hint="eastAsia"/>
                    <w:sz w:val="18"/>
                    <w:szCs w:val="18"/>
                  </w:rPr>
                  <m:t>10</m:t>
                </m:r>
                <m:r>
                  <m:rPr>
                    <m:sty m:val="p"/>
                  </m:rPr>
                  <w:rPr>
                    <w:rFonts w:ascii="Cambria Math" w:hAnsi="Cambria Math"/>
                    <w:sz w:val="18"/>
                    <w:szCs w:val="18"/>
                  </w:rPr>
                  <m:t>00</m:t>
                </m:r>
                <m:r>
                  <m:rPr>
                    <m:sty m:val="p"/>
                  </m:rPr>
                  <w:rPr>
                    <w:rFonts w:ascii="Cambria Math" w:hAnsi="Cambria Math" w:hint="eastAsia"/>
                    <w:sz w:val="18"/>
                    <w:szCs w:val="18"/>
                  </w:rPr>
                  <m:t>0</m:t>
                </m:r>
                <m:r>
                  <m:rPr>
                    <m:sty m:val="p"/>
                  </m:rPr>
                  <w:rPr>
                    <w:rFonts w:ascii="Times New Roman" w:eastAsia="MS Mincho"/>
                    <w:sz w:val="18"/>
                    <w:szCs w:val="18"/>
                  </w:rPr>
                  <m:t>‱</m:t>
                </m:r>
              </m:oMath>
            </m:oMathPara>
          </w:p>
        </w:tc>
        <w:tc>
          <w:tcPr>
            <w:tcW w:w="1984" w:type="dxa"/>
          </w:tcPr>
          <w:p w14:paraId="1BBE56D0" w14:textId="77777777" w:rsidR="00B37F7F" w:rsidRDefault="00000000">
            <w:pPr>
              <w:pStyle w:val="affff1"/>
              <w:spacing w:before="156" w:after="156"/>
              <w:jc w:val="both"/>
              <w:rPr>
                <w:rFonts w:asciiTheme="minorEastAsia" w:eastAsiaTheme="minorEastAsia" w:hAnsiTheme="minorEastAsia" w:hint="eastAsia"/>
                <w:sz w:val="18"/>
                <w:szCs w:val="18"/>
              </w:rPr>
            </w:pPr>
            <w:r>
              <w:rPr>
                <w:rFonts w:asciiTheme="minorEastAsia" w:eastAsiaTheme="minorEastAsia" w:hAnsiTheme="minorEastAsia" w:hint="eastAsia"/>
                <w:sz w:val="18"/>
                <w:szCs w:val="18"/>
              </w:rPr>
              <w:t>与标本质量有关，反映检测前过程的稳定性。</w:t>
            </w:r>
          </w:p>
        </w:tc>
        <w:tc>
          <w:tcPr>
            <w:tcW w:w="4602" w:type="dxa"/>
          </w:tcPr>
          <w:p w14:paraId="7015182A" w14:textId="77777777" w:rsidR="00B37F7F" w:rsidRDefault="00000000">
            <w:pPr>
              <w:pStyle w:val="affff1"/>
              <w:spacing w:beforeLines="0" w:before="0" w:afterLines="0" w:after="0"/>
              <w:jc w:val="both"/>
              <w:rPr>
                <w:rFonts w:asciiTheme="minorEastAsia" w:eastAsiaTheme="minorEastAsia" w:hAnsiTheme="minorEastAsia" w:hint="eastAsia"/>
                <w:sz w:val="18"/>
                <w:szCs w:val="18"/>
              </w:rPr>
            </w:pPr>
            <w:r>
              <w:rPr>
                <w:rFonts w:asciiTheme="minorEastAsia" w:eastAsiaTheme="minorEastAsia" w:hAnsiTheme="minorEastAsia" w:hint="eastAsia"/>
                <w:sz w:val="18"/>
                <w:szCs w:val="18"/>
              </w:rPr>
              <w:t>该指标通过质量不合格标本总数和导致标本质量不合格原因总数的乘积，反映实验室质量不合格标本的指数水平。标本质量不合格原因包括但不限于溶血、乳糜、容量不足、血细胞比容异常，根据实验室具体情况填写。鉴于该指标数值较低，宜用万分率表示。该指标属于低优指标，指标值越低越好。</w:t>
            </w:r>
          </w:p>
        </w:tc>
      </w:tr>
      <w:tr w:rsidR="00B37F7F" w14:paraId="1D555BD5" w14:textId="77777777">
        <w:trPr>
          <w:trHeight w:val="901"/>
          <w:jc w:val="center"/>
        </w:trPr>
        <w:tc>
          <w:tcPr>
            <w:tcW w:w="2117" w:type="dxa"/>
          </w:tcPr>
          <w:p w14:paraId="496DD8E8" w14:textId="77777777" w:rsidR="00B37F7F" w:rsidRDefault="00000000">
            <w:pPr>
              <w:pStyle w:val="affff1"/>
              <w:spacing w:before="156" w:after="156"/>
              <w:jc w:val="both"/>
              <w:rPr>
                <w:rFonts w:ascii="Times New Roman" w:eastAsia="宋体"/>
                <w:sz w:val="18"/>
                <w:szCs w:val="18"/>
              </w:rPr>
            </w:pPr>
            <w:r>
              <w:rPr>
                <w:rFonts w:ascii="Times New Roman" w:eastAsia="宋体" w:hint="eastAsia"/>
                <w:sz w:val="18"/>
                <w:szCs w:val="18"/>
              </w:rPr>
              <w:t>标本溶血率</w:t>
            </w:r>
            <w:r>
              <w:rPr>
                <w:sz w:val="18"/>
                <w:szCs w:val="18"/>
              </w:rPr>
              <w:t>(</w:t>
            </w:r>
            <w:r>
              <w:rPr>
                <w:rFonts w:ascii="Times New Roman" w:eastAsia="MS Mincho"/>
                <w:sz w:val="18"/>
                <w:szCs w:val="18"/>
              </w:rPr>
              <w:t>‱</w:t>
            </w:r>
            <w:r>
              <w:rPr>
                <w:rFonts w:eastAsiaTheme="minorEastAsia"/>
                <w:sz w:val="18"/>
                <w:szCs w:val="18"/>
              </w:rPr>
              <w:t>)</w:t>
            </w:r>
          </w:p>
        </w:tc>
        <w:tc>
          <w:tcPr>
            <w:tcW w:w="4536" w:type="dxa"/>
          </w:tcPr>
          <w:p w14:paraId="16271F90" w14:textId="77777777" w:rsidR="00B37F7F" w:rsidRDefault="00000000">
            <w:pPr>
              <w:jc w:val="cente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溶血标本数</m:t>
                    </m:r>
                  </m:num>
                  <m:den>
                    <m:r>
                      <m:rPr>
                        <m:sty m:val="p"/>
                      </m:rPr>
                      <w:rPr>
                        <w:rFonts w:ascii="Cambria Math" w:hAnsi="Cambria Math" w:hint="eastAsia"/>
                        <w:sz w:val="18"/>
                        <w:szCs w:val="18"/>
                      </w:rPr>
                      <m:t>标本总数</m:t>
                    </m:r>
                  </m:den>
                </m:f>
                <m:r>
                  <m:rPr>
                    <m:sty m:val="p"/>
                  </m:rPr>
                  <w:rPr>
                    <w:rFonts w:ascii="Cambria Math" w:hAnsi="Cambria Math"/>
                    <w:sz w:val="18"/>
                    <w:szCs w:val="18"/>
                  </w:rPr>
                  <m:t>×</m:t>
                </m:r>
                <m:r>
                  <m:rPr>
                    <m:sty m:val="p"/>
                  </m:rPr>
                  <w:rPr>
                    <w:rFonts w:ascii="Cambria Math" w:hAnsi="Cambria Math" w:hint="eastAsia"/>
                    <w:sz w:val="18"/>
                    <w:szCs w:val="18"/>
                  </w:rPr>
                  <m:t>10</m:t>
                </m:r>
                <m:r>
                  <m:rPr>
                    <m:sty m:val="p"/>
                  </m:rPr>
                  <w:rPr>
                    <w:rFonts w:ascii="Cambria Math" w:hAnsi="Cambria Math"/>
                    <w:sz w:val="18"/>
                    <w:szCs w:val="18"/>
                  </w:rPr>
                  <m:t>0</m:t>
                </m:r>
                <m:r>
                  <m:rPr>
                    <m:sty m:val="p"/>
                  </m:rPr>
                  <w:rPr>
                    <w:rFonts w:ascii="Cambria Math" w:hAnsi="Cambria Math" w:hint="eastAsia"/>
                    <w:sz w:val="18"/>
                    <w:szCs w:val="18"/>
                  </w:rPr>
                  <m:t>0</m:t>
                </m:r>
                <m:r>
                  <m:rPr>
                    <m:sty m:val="p"/>
                  </m:rPr>
                  <w:rPr>
                    <w:rFonts w:ascii="Cambria Math" w:hAnsi="Cambria Math"/>
                    <w:sz w:val="18"/>
                    <w:szCs w:val="18"/>
                  </w:rPr>
                  <m:t>0</m:t>
                </m:r>
                <m:r>
                  <m:rPr>
                    <m:sty m:val="p"/>
                  </m:rPr>
                  <w:rPr>
                    <w:rFonts w:eastAsia="MS Mincho"/>
                    <w:sz w:val="18"/>
                    <w:szCs w:val="18"/>
                  </w:rPr>
                  <m:t>‱</m:t>
                </m:r>
              </m:oMath>
            </m:oMathPara>
          </w:p>
        </w:tc>
        <w:tc>
          <w:tcPr>
            <w:tcW w:w="1984" w:type="dxa"/>
          </w:tcPr>
          <w:p w14:paraId="75F2A4A3" w14:textId="77777777" w:rsidR="00B37F7F" w:rsidRDefault="00000000">
            <w:pPr>
              <w:jc w:val="left"/>
              <w:rPr>
                <w:sz w:val="18"/>
                <w:szCs w:val="18"/>
              </w:rPr>
            </w:pPr>
            <w:r>
              <w:rPr>
                <w:rFonts w:hint="eastAsia"/>
                <w:sz w:val="18"/>
                <w:szCs w:val="18"/>
              </w:rPr>
              <w:t>与标本质量有关，反映溶血标本出现的情况。</w:t>
            </w:r>
          </w:p>
        </w:tc>
        <w:tc>
          <w:tcPr>
            <w:tcW w:w="4602" w:type="dxa"/>
          </w:tcPr>
          <w:p w14:paraId="78A2EC6F" w14:textId="77777777" w:rsidR="00B37F7F" w:rsidRDefault="00000000">
            <w:pPr>
              <w:jc w:val="left"/>
              <w:rPr>
                <w:sz w:val="18"/>
                <w:szCs w:val="18"/>
              </w:rPr>
            </w:pPr>
            <w:r>
              <w:rPr>
                <w:rFonts w:hint="eastAsia"/>
                <w:sz w:val="18"/>
                <w:szCs w:val="18"/>
              </w:rPr>
              <w:t>该指标反映实验室溶血标本的发生频率。鉴于该指标数值较低，宜用万分率表示。该指标属于低优指标，指标值越低越好。</w:t>
            </w:r>
          </w:p>
        </w:tc>
      </w:tr>
      <w:tr w:rsidR="00B37F7F" w14:paraId="725DDE80" w14:textId="77777777">
        <w:trPr>
          <w:trHeight w:val="468"/>
          <w:jc w:val="center"/>
        </w:trPr>
        <w:tc>
          <w:tcPr>
            <w:tcW w:w="2117" w:type="dxa"/>
          </w:tcPr>
          <w:p w14:paraId="6EB0B771" w14:textId="77777777" w:rsidR="00B37F7F" w:rsidRDefault="00000000">
            <w:pPr>
              <w:pStyle w:val="affff1"/>
              <w:spacing w:before="156" w:after="156"/>
              <w:jc w:val="both"/>
              <w:rPr>
                <w:rFonts w:ascii="Times New Roman" w:eastAsia="宋体"/>
                <w:sz w:val="18"/>
                <w:szCs w:val="18"/>
              </w:rPr>
            </w:pPr>
            <w:r>
              <w:rPr>
                <w:rFonts w:ascii="Times New Roman" w:eastAsia="宋体" w:hint="eastAsia"/>
                <w:sz w:val="18"/>
                <w:szCs w:val="18"/>
              </w:rPr>
              <w:t>标本乳糜率</w:t>
            </w:r>
            <w:r>
              <w:rPr>
                <w:sz w:val="18"/>
                <w:szCs w:val="18"/>
              </w:rPr>
              <w:t>(</w:t>
            </w:r>
            <w:r>
              <w:rPr>
                <w:rFonts w:ascii="Times New Roman" w:eastAsia="MS Mincho"/>
                <w:sz w:val="18"/>
                <w:szCs w:val="18"/>
              </w:rPr>
              <w:t>‱</w:t>
            </w:r>
            <w:r>
              <w:rPr>
                <w:rFonts w:eastAsiaTheme="minorEastAsia"/>
                <w:sz w:val="18"/>
                <w:szCs w:val="18"/>
              </w:rPr>
              <w:t>)</w:t>
            </w:r>
          </w:p>
        </w:tc>
        <w:tc>
          <w:tcPr>
            <w:tcW w:w="4536" w:type="dxa"/>
          </w:tcPr>
          <w:p w14:paraId="0C7A6BAE" w14:textId="77777777" w:rsidR="00B37F7F" w:rsidRDefault="00000000">
            <w:pPr>
              <w:jc w:val="cente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乳糜标本数</m:t>
                    </m:r>
                  </m:num>
                  <m:den>
                    <m:r>
                      <m:rPr>
                        <m:sty m:val="p"/>
                      </m:rPr>
                      <w:rPr>
                        <w:rFonts w:ascii="Cambria Math" w:hAnsi="Cambria Math" w:hint="eastAsia"/>
                        <w:sz w:val="18"/>
                        <w:szCs w:val="18"/>
                      </w:rPr>
                      <m:t>标本总数</m:t>
                    </m:r>
                  </m:den>
                </m:f>
                <m:r>
                  <m:rPr>
                    <m:sty m:val="p"/>
                  </m:rPr>
                  <w:rPr>
                    <w:rFonts w:ascii="Cambria Math" w:hAnsi="Cambria Math"/>
                    <w:sz w:val="18"/>
                    <w:szCs w:val="18"/>
                  </w:rPr>
                  <m:t>×</m:t>
                </m:r>
                <m:r>
                  <m:rPr>
                    <m:sty m:val="p"/>
                  </m:rPr>
                  <w:rPr>
                    <w:rFonts w:ascii="Cambria Math" w:hAnsi="Cambria Math" w:hint="eastAsia"/>
                    <w:sz w:val="18"/>
                    <w:szCs w:val="18"/>
                  </w:rPr>
                  <m:t>10</m:t>
                </m:r>
                <m:r>
                  <m:rPr>
                    <m:sty m:val="p"/>
                  </m:rPr>
                  <w:rPr>
                    <w:rFonts w:ascii="Cambria Math" w:hAnsi="Cambria Math"/>
                    <w:sz w:val="18"/>
                    <w:szCs w:val="18"/>
                  </w:rPr>
                  <m:t>0</m:t>
                </m:r>
                <m:r>
                  <m:rPr>
                    <m:sty m:val="p"/>
                  </m:rPr>
                  <w:rPr>
                    <w:rFonts w:ascii="Cambria Math" w:hAnsi="Cambria Math" w:hint="eastAsia"/>
                    <w:sz w:val="18"/>
                    <w:szCs w:val="18"/>
                  </w:rPr>
                  <m:t>0</m:t>
                </m:r>
                <m:r>
                  <m:rPr>
                    <m:sty m:val="p"/>
                  </m:rPr>
                  <w:rPr>
                    <w:rFonts w:ascii="Cambria Math" w:hAnsi="Cambria Math"/>
                    <w:sz w:val="18"/>
                    <w:szCs w:val="18"/>
                  </w:rPr>
                  <m:t>0</m:t>
                </m:r>
                <m:r>
                  <m:rPr>
                    <m:sty m:val="p"/>
                  </m:rPr>
                  <w:rPr>
                    <w:rFonts w:eastAsia="MS Mincho"/>
                    <w:sz w:val="18"/>
                    <w:szCs w:val="18"/>
                  </w:rPr>
                  <m:t>‱</m:t>
                </m:r>
              </m:oMath>
            </m:oMathPara>
          </w:p>
        </w:tc>
        <w:tc>
          <w:tcPr>
            <w:tcW w:w="1984" w:type="dxa"/>
          </w:tcPr>
          <w:p w14:paraId="4F81AEFA" w14:textId="77777777" w:rsidR="00B37F7F" w:rsidRDefault="00000000">
            <w:pPr>
              <w:rPr>
                <w:sz w:val="18"/>
                <w:szCs w:val="18"/>
              </w:rPr>
            </w:pPr>
            <w:r>
              <w:rPr>
                <w:rFonts w:hint="eastAsia"/>
                <w:sz w:val="18"/>
                <w:szCs w:val="18"/>
              </w:rPr>
              <w:t>与标本质量有关，反映乳糜标本出现的情况。</w:t>
            </w:r>
          </w:p>
        </w:tc>
        <w:tc>
          <w:tcPr>
            <w:tcW w:w="4602" w:type="dxa"/>
          </w:tcPr>
          <w:p w14:paraId="3D229293" w14:textId="77777777" w:rsidR="00B37F7F" w:rsidRDefault="00000000">
            <w:pPr>
              <w:rPr>
                <w:sz w:val="18"/>
                <w:szCs w:val="18"/>
              </w:rPr>
            </w:pPr>
            <w:r>
              <w:rPr>
                <w:rFonts w:hint="eastAsia"/>
                <w:sz w:val="18"/>
                <w:szCs w:val="18"/>
              </w:rPr>
              <w:t>该指标反映实验室乳糜标本的发生频率。鉴于该指标数值较低，宜用万分率表示。该指标属于低优指标，指标值越低越好。</w:t>
            </w:r>
          </w:p>
        </w:tc>
      </w:tr>
      <w:tr w:rsidR="00B37F7F" w14:paraId="4551970D" w14:textId="77777777">
        <w:trPr>
          <w:trHeight w:val="468"/>
          <w:jc w:val="center"/>
        </w:trPr>
        <w:tc>
          <w:tcPr>
            <w:tcW w:w="2117" w:type="dxa"/>
          </w:tcPr>
          <w:p w14:paraId="162DD12F" w14:textId="77777777" w:rsidR="00B37F7F" w:rsidRDefault="00000000">
            <w:pPr>
              <w:pStyle w:val="affff1"/>
              <w:spacing w:before="156" w:after="156"/>
              <w:jc w:val="both"/>
              <w:rPr>
                <w:rFonts w:ascii="Times New Roman" w:eastAsia="宋体"/>
                <w:sz w:val="18"/>
                <w:szCs w:val="18"/>
              </w:rPr>
            </w:pPr>
            <w:r>
              <w:rPr>
                <w:rFonts w:ascii="Times New Roman" w:eastAsia="宋体" w:hint="eastAsia"/>
                <w:sz w:val="18"/>
                <w:szCs w:val="18"/>
              </w:rPr>
              <w:lastRenderedPageBreak/>
              <w:t>标本容量不足率</w:t>
            </w:r>
            <w:r>
              <w:rPr>
                <w:sz w:val="18"/>
                <w:szCs w:val="18"/>
              </w:rPr>
              <w:t>(</w:t>
            </w:r>
            <w:r>
              <w:rPr>
                <w:rFonts w:ascii="Times New Roman" w:eastAsia="MS Mincho"/>
                <w:sz w:val="18"/>
                <w:szCs w:val="18"/>
              </w:rPr>
              <w:t>‱</w:t>
            </w:r>
            <w:r>
              <w:rPr>
                <w:rFonts w:eastAsiaTheme="minorEastAsia"/>
                <w:sz w:val="18"/>
                <w:szCs w:val="18"/>
              </w:rPr>
              <w:t>)</w:t>
            </w:r>
          </w:p>
        </w:tc>
        <w:tc>
          <w:tcPr>
            <w:tcW w:w="4536" w:type="dxa"/>
          </w:tcPr>
          <w:p w14:paraId="76BEB523"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容量不足标本数</m:t>
                    </m:r>
                  </m:num>
                  <m:den>
                    <m:r>
                      <m:rPr>
                        <m:sty m:val="p"/>
                      </m:rPr>
                      <w:rPr>
                        <w:rFonts w:ascii="Cambria Math" w:hAnsi="Cambria Math" w:hint="eastAsia"/>
                        <w:sz w:val="18"/>
                        <w:szCs w:val="18"/>
                      </w:rPr>
                      <m:t>标本总数</m:t>
                    </m:r>
                  </m:den>
                </m:f>
                <m:r>
                  <m:rPr>
                    <m:sty m:val="p"/>
                  </m:rPr>
                  <w:rPr>
                    <w:rFonts w:ascii="Cambria Math" w:hAnsi="Cambria Math"/>
                    <w:sz w:val="18"/>
                    <w:szCs w:val="18"/>
                  </w:rPr>
                  <m:t>×</m:t>
                </m:r>
                <m:r>
                  <m:rPr>
                    <m:sty m:val="p"/>
                  </m:rPr>
                  <w:rPr>
                    <w:rFonts w:ascii="Cambria Math" w:hAnsi="Cambria Math" w:hint="eastAsia"/>
                    <w:sz w:val="18"/>
                    <w:szCs w:val="18"/>
                  </w:rPr>
                  <m:t>10</m:t>
                </m:r>
                <m:r>
                  <m:rPr>
                    <m:sty m:val="p"/>
                  </m:rPr>
                  <w:rPr>
                    <w:rFonts w:ascii="Cambria Math" w:hAnsi="Cambria Math"/>
                    <w:sz w:val="18"/>
                    <w:szCs w:val="18"/>
                  </w:rPr>
                  <m:t>00</m:t>
                </m:r>
                <m:r>
                  <m:rPr>
                    <m:sty m:val="p"/>
                  </m:rPr>
                  <w:rPr>
                    <w:rFonts w:ascii="Cambria Math" w:hAnsi="Cambria Math" w:hint="eastAsia"/>
                    <w:sz w:val="18"/>
                    <w:szCs w:val="18"/>
                  </w:rPr>
                  <m:t>0</m:t>
                </m:r>
                <m:r>
                  <m:rPr>
                    <m:sty m:val="p"/>
                  </m:rPr>
                  <w:rPr>
                    <w:rFonts w:eastAsia="MS Mincho"/>
                    <w:sz w:val="18"/>
                    <w:szCs w:val="18"/>
                  </w:rPr>
                  <m:t>‱</m:t>
                </m:r>
              </m:oMath>
            </m:oMathPara>
          </w:p>
        </w:tc>
        <w:tc>
          <w:tcPr>
            <w:tcW w:w="1984" w:type="dxa"/>
          </w:tcPr>
          <w:p w14:paraId="0D380158" w14:textId="77777777" w:rsidR="00B37F7F" w:rsidRDefault="00000000">
            <w:pPr>
              <w:rPr>
                <w:sz w:val="18"/>
                <w:szCs w:val="18"/>
              </w:rPr>
            </w:pPr>
            <w:r>
              <w:rPr>
                <w:rFonts w:hint="eastAsia"/>
                <w:sz w:val="18"/>
                <w:szCs w:val="18"/>
              </w:rPr>
              <w:t>与标本质量有关，反映标本容量不足出现的情况。</w:t>
            </w:r>
          </w:p>
        </w:tc>
        <w:tc>
          <w:tcPr>
            <w:tcW w:w="4602" w:type="dxa"/>
          </w:tcPr>
          <w:p w14:paraId="389849BD" w14:textId="77777777" w:rsidR="00B37F7F" w:rsidRDefault="00000000">
            <w:pPr>
              <w:rPr>
                <w:sz w:val="18"/>
                <w:szCs w:val="18"/>
              </w:rPr>
            </w:pPr>
            <w:r>
              <w:rPr>
                <w:rFonts w:hint="eastAsia"/>
                <w:sz w:val="18"/>
                <w:szCs w:val="18"/>
              </w:rPr>
              <w:t>该指标反映实验室容量不足标本的发生频率。鉴于该指标数值较低，宜用万分率表示。该指标属于低优指标，指标值越低越好。</w:t>
            </w:r>
          </w:p>
        </w:tc>
      </w:tr>
      <w:tr w:rsidR="00B37F7F" w14:paraId="5857E667" w14:textId="77777777">
        <w:trPr>
          <w:trHeight w:val="468"/>
          <w:jc w:val="center"/>
        </w:trPr>
        <w:tc>
          <w:tcPr>
            <w:tcW w:w="2117" w:type="dxa"/>
          </w:tcPr>
          <w:p w14:paraId="661C9AD2" w14:textId="77777777" w:rsidR="00B37F7F" w:rsidRDefault="00000000">
            <w:pPr>
              <w:pStyle w:val="affff1"/>
              <w:spacing w:before="156" w:after="156"/>
              <w:jc w:val="both"/>
              <w:rPr>
                <w:rFonts w:ascii="Times New Roman" w:eastAsia="宋体"/>
                <w:sz w:val="18"/>
                <w:szCs w:val="18"/>
              </w:rPr>
            </w:pPr>
            <w:r>
              <w:rPr>
                <w:rFonts w:ascii="Times New Roman" w:eastAsia="宋体" w:hint="eastAsia"/>
                <w:sz w:val="18"/>
                <w:szCs w:val="18"/>
              </w:rPr>
              <w:t>标本血细胞比容异常率</w:t>
            </w:r>
            <w:r>
              <w:rPr>
                <w:sz w:val="18"/>
                <w:szCs w:val="18"/>
              </w:rPr>
              <w:t>(</w:t>
            </w:r>
            <w:r>
              <w:rPr>
                <w:rFonts w:ascii="Times New Roman" w:eastAsia="MS Mincho"/>
                <w:sz w:val="18"/>
                <w:szCs w:val="18"/>
              </w:rPr>
              <w:t>‱</w:t>
            </w:r>
            <w:r>
              <w:rPr>
                <w:rFonts w:eastAsiaTheme="minorEastAsia"/>
                <w:sz w:val="18"/>
                <w:szCs w:val="18"/>
              </w:rPr>
              <w:t>)</w:t>
            </w:r>
          </w:p>
        </w:tc>
        <w:tc>
          <w:tcPr>
            <w:tcW w:w="4536" w:type="dxa"/>
          </w:tcPr>
          <w:p w14:paraId="726C66F8"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血细胞比容异常标本数</m:t>
                    </m:r>
                  </m:num>
                  <m:den>
                    <m:r>
                      <m:rPr>
                        <m:sty m:val="p"/>
                      </m:rPr>
                      <w:rPr>
                        <w:rFonts w:ascii="Cambria Math" w:hAnsi="Cambria Math" w:hint="eastAsia"/>
                        <w:sz w:val="18"/>
                        <w:szCs w:val="18"/>
                      </w:rPr>
                      <m:t>标本总数</m:t>
                    </m:r>
                  </m:den>
                </m:f>
                <m:r>
                  <m:rPr>
                    <m:sty m:val="p"/>
                  </m:rPr>
                  <w:rPr>
                    <w:rFonts w:ascii="Cambria Math" w:hAnsi="Cambria Math"/>
                    <w:sz w:val="18"/>
                    <w:szCs w:val="18"/>
                  </w:rPr>
                  <m:t>×</m:t>
                </m:r>
                <m:r>
                  <m:rPr>
                    <m:sty m:val="p"/>
                  </m:rPr>
                  <w:rPr>
                    <w:rFonts w:ascii="Cambria Math" w:hAnsi="Cambria Math" w:hint="eastAsia"/>
                    <w:sz w:val="18"/>
                    <w:szCs w:val="18"/>
                  </w:rPr>
                  <m:t>10</m:t>
                </m:r>
                <m:r>
                  <m:rPr>
                    <m:sty m:val="p"/>
                  </m:rPr>
                  <w:rPr>
                    <w:rFonts w:ascii="Cambria Math" w:hAnsi="Cambria Math"/>
                    <w:sz w:val="18"/>
                    <w:szCs w:val="18"/>
                  </w:rPr>
                  <m:t>00</m:t>
                </m:r>
                <m:r>
                  <m:rPr>
                    <m:sty m:val="p"/>
                  </m:rPr>
                  <w:rPr>
                    <w:rFonts w:ascii="Cambria Math" w:hAnsi="Cambria Math" w:hint="eastAsia"/>
                    <w:sz w:val="18"/>
                    <w:szCs w:val="18"/>
                  </w:rPr>
                  <m:t>0</m:t>
                </m:r>
                <m:r>
                  <m:rPr>
                    <m:sty m:val="p"/>
                  </m:rPr>
                  <w:rPr>
                    <w:rFonts w:eastAsia="MS Mincho"/>
                    <w:sz w:val="18"/>
                    <w:szCs w:val="18"/>
                  </w:rPr>
                  <m:t>‱</m:t>
                </m:r>
              </m:oMath>
            </m:oMathPara>
          </w:p>
        </w:tc>
        <w:tc>
          <w:tcPr>
            <w:tcW w:w="1984" w:type="dxa"/>
          </w:tcPr>
          <w:p w14:paraId="43B71B86" w14:textId="77777777" w:rsidR="00B37F7F" w:rsidRDefault="00000000">
            <w:pPr>
              <w:rPr>
                <w:sz w:val="18"/>
                <w:szCs w:val="18"/>
              </w:rPr>
            </w:pPr>
            <w:r>
              <w:rPr>
                <w:rFonts w:hint="eastAsia"/>
                <w:sz w:val="18"/>
                <w:szCs w:val="18"/>
              </w:rPr>
              <w:t>与标本质量有关，反映血细胞比容异常标本出现的情况。</w:t>
            </w:r>
          </w:p>
        </w:tc>
        <w:tc>
          <w:tcPr>
            <w:tcW w:w="4602" w:type="dxa"/>
          </w:tcPr>
          <w:p w14:paraId="62A7BF04" w14:textId="77777777" w:rsidR="00B37F7F" w:rsidRDefault="00000000">
            <w:pPr>
              <w:rPr>
                <w:sz w:val="18"/>
                <w:szCs w:val="18"/>
              </w:rPr>
            </w:pPr>
            <w:r>
              <w:rPr>
                <w:rFonts w:hint="eastAsia"/>
                <w:sz w:val="18"/>
                <w:szCs w:val="18"/>
              </w:rPr>
              <w:t>该指标反映实验室血细胞比容异常标本的发生频率。鉴于该指标数值较低，宜用万分率表示。该指标属于低优指标，指标值越低越好。</w:t>
            </w:r>
          </w:p>
        </w:tc>
      </w:tr>
    </w:tbl>
    <w:p w14:paraId="3F2ED11D" w14:textId="77777777" w:rsidR="00B37F7F" w:rsidRDefault="00B37F7F">
      <w:pPr>
        <w:pStyle w:val="af4"/>
        <w:numPr>
          <w:ilvl w:val="0"/>
          <w:numId w:val="0"/>
        </w:numPr>
        <w:spacing w:before="156" w:after="156"/>
        <w:jc w:val="both"/>
        <w:rPr>
          <w:rFonts w:ascii="Times New Roman"/>
        </w:rPr>
      </w:pPr>
    </w:p>
    <w:p w14:paraId="02191B42" w14:textId="77777777" w:rsidR="00B37F7F" w:rsidRDefault="00000000">
      <w:pPr>
        <w:pStyle w:val="af4"/>
        <w:spacing w:before="156" w:after="156"/>
        <w:rPr>
          <w:rFonts w:ascii="Times New Roman"/>
        </w:rPr>
      </w:pPr>
      <w:r>
        <w:rPr>
          <w:rFonts w:ascii="Times New Roman" w:hint="eastAsia"/>
        </w:rPr>
        <w:t>检测中质量监测指标</w:t>
      </w:r>
    </w:p>
    <w:tbl>
      <w:tblPr>
        <w:tblW w:w="1326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117"/>
        <w:gridCol w:w="4536"/>
        <w:gridCol w:w="2054"/>
        <w:gridCol w:w="4554"/>
      </w:tblGrid>
      <w:tr w:rsidR="00B37F7F" w14:paraId="25611D76" w14:textId="77777777">
        <w:trPr>
          <w:trHeight w:val="590"/>
          <w:jc w:val="center"/>
        </w:trPr>
        <w:tc>
          <w:tcPr>
            <w:tcW w:w="2117" w:type="dxa"/>
          </w:tcPr>
          <w:p w14:paraId="18375EAA"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质量监测指标</w:t>
            </w:r>
          </w:p>
        </w:tc>
        <w:tc>
          <w:tcPr>
            <w:tcW w:w="4536" w:type="dxa"/>
          </w:tcPr>
          <w:p w14:paraId="1F374F44"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计算方法</w:t>
            </w:r>
          </w:p>
        </w:tc>
        <w:tc>
          <w:tcPr>
            <w:tcW w:w="2054" w:type="dxa"/>
          </w:tcPr>
          <w:p w14:paraId="27E8B454"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意义</w:t>
            </w:r>
          </w:p>
        </w:tc>
        <w:tc>
          <w:tcPr>
            <w:tcW w:w="4554" w:type="dxa"/>
          </w:tcPr>
          <w:p w14:paraId="255ABF14"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解释</w:t>
            </w:r>
          </w:p>
        </w:tc>
      </w:tr>
      <w:tr w:rsidR="00B37F7F" w14:paraId="6A7D8944" w14:textId="77777777">
        <w:trPr>
          <w:trHeight w:val="855"/>
          <w:jc w:val="center"/>
        </w:trPr>
        <w:tc>
          <w:tcPr>
            <w:tcW w:w="2117" w:type="dxa"/>
          </w:tcPr>
          <w:p w14:paraId="19B3FE61" w14:textId="77777777" w:rsidR="00B37F7F" w:rsidRDefault="00000000">
            <w:pPr>
              <w:rPr>
                <w:sz w:val="18"/>
                <w:szCs w:val="18"/>
              </w:rPr>
            </w:pPr>
            <w:r>
              <w:rPr>
                <w:rFonts w:hint="eastAsia"/>
                <w:sz w:val="18"/>
                <w:szCs w:val="18"/>
              </w:rPr>
              <w:t>标本血型与血液制剂血型不一致率</w:t>
            </w:r>
            <w:r>
              <w:rPr>
                <w:sz w:val="18"/>
                <w:szCs w:val="18"/>
              </w:rPr>
              <w:t>(</w:t>
            </w:r>
            <w:r>
              <w:rPr>
                <w:rFonts w:eastAsia="MS Mincho"/>
                <w:sz w:val="18"/>
                <w:szCs w:val="18"/>
              </w:rPr>
              <w:t>‱</w:t>
            </w:r>
            <w:r>
              <w:rPr>
                <w:rFonts w:eastAsiaTheme="minorEastAsia"/>
                <w:sz w:val="18"/>
                <w:szCs w:val="18"/>
              </w:rPr>
              <w:t>)</w:t>
            </w:r>
          </w:p>
        </w:tc>
        <w:tc>
          <w:tcPr>
            <w:tcW w:w="4536" w:type="dxa"/>
          </w:tcPr>
          <w:p w14:paraId="29327FCB" w14:textId="77777777" w:rsidR="00B37F7F" w:rsidRDefault="00000000">
            <w:pPr>
              <w:jc w:val="cente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标本血型与血液制剂血型不一致标本数</m:t>
                    </m:r>
                  </m:num>
                  <m:den>
                    <m:r>
                      <m:rPr>
                        <m:sty m:val="p"/>
                      </m:rPr>
                      <w:rPr>
                        <w:rFonts w:ascii="Cambria Math" w:hAnsi="Cambria Math" w:hint="eastAsia"/>
                        <w:sz w:val="18"/>
                        <w:szCs w:val="18"/>
                      </w:rPr>
                      <m:t>血型检测标本数</m:t>
                    </m:r>
                  </m:den>
                </m:f>
                <m:r>
                  <m:rPr>
                    <m:sty m:val="p"/>
                  </m:rPr>
                  <w:rPr>
                    <w:rFonts w:ascii="Cambria Math" w:hAnsi="Cambria Math"/>
                    <w:sz w:val="18"/>
                    <w:szCs w:val="18"/>
                  </w:rPr>
                  <m:t>×</m:t>
                </m:r>
                <m:r>
                  <m:rPr>
                    <m:sty m:val="p"/>
                  </m:rPr>
                  <w:rPr>
                    <w:rFonts w:ascii="Cambria Math" w:hAnsi="Cambria Math" w:hint="eastAsia"/>
                    <w:sz w:val="18"/>
                    <w:szCs w:val="18"/>
                  </w:rPr>
                  <m:t>10</m:t>
                </m:r>
                <m:r>
                  <m:rPr>
                    <m:sty m:val="p"/>
                  </m:rPr>
                  <w:rPr>
                    <w:rFonts w:ascii="Cambria Math" w:hAnsi="Cambria Math"/>
                    <w:sz w:val="18"/>
                    <w:szCs w:val="18"/>
                  </w:rPr>
                  <m:t>0</m:t>
                </m:r>
                <m:r>
                  <m:rPr>
                    <m:sty m:val="p"/>
                  </m:rPr>
                  <w:rPr>
                    <w:rFonts w:ascii="Cambria Math" w:hAnsi="Cambria Math" w:hint="eastAsia"/>
                    <w:sz w:val="18"/>
                    <w:szCs w:val="18"/>
                  </w:rPr>
                  <m:t>0</m:t>
                </m:r>
                <m:r>
                  <m:rPr>
                    <m:sty m:val="p"/>
                  </m:rPr>
                  <w:rPr>
                    <w:rFonts w:ascii="Cambria Math" w:hAnsi="Cambria Math"/>
                    <w:sz w:val="18"/>
                    <w:szCs w:val="18"/>
                  </w:rPr>
                  <m:t>0</m:t>
                </m:r>
                <m:r>
                  <m:rPr>
                    <m:sty m:val="p"/>
                  </m:rPr>
                  <w:rPr>
                    <w:rFonts w:eastAsia="MS Mincho"/>
                    <w:sz w:val="18"/>
                    <w:szCs w:val="18"/>
                  </w:rPr>
                  <m:t>‱</m:t>
                </m:r>
              </m:oMath>
            </m:oMathPara>
          </w:p>
        </w:tc>
        <w:tc>
          <w:tcPr>
            <w:tcW w:w="2054" w:type="dxa"/>
          </w:tcPr>
          <w:p w14:paraId="115D5D33" w14:textId="77777777" w:rsidR="00B37F7F" w:rsidRDefault="00000000">
            <w:pPr>
              <w:jc w:val="left"/>
              <w:rPr>
                <w:sz w:val="18"/>
                <w:szCs w:val="18"/>
              </w:rPr>
            </w:pPr>
            <w:r>
              <w:rPr>
                <w:rFonts w:hint="eastAsia"/>
                <w:sz w:val="18"/>
                <w:szCs w:val="18"/>
              </w:rPr>
              <w:t>与标本和血液制剂同源性有关，反映检测前过程标本留取的正确性。</w:t>
            </w:r>
          </w:p>
        </w:tc>
        <w:tc>
          <w:tcPr>
            <w:tcW w:w="4554" w:type="dxa"/>
          </w:tcPr>
          <w:p w14:paraId="45CD27D2" w14:textId="77777777" w:rsidR="00B37F7F" w:rsidRDefault="00000000">
            <w:pPr>
              <w:jc w:val="left"/>
              <w:rPr>
                <w:sz w:val="18"/>
                <w:szCs w:val="18"/>
              </w:rPr>
            </w:pPr>
            <w:r>
              <w:rPr>
                <w:rFonts w:hint="eastAsia"/>
                <w:sz w:val="18"/>
                <w:szCs w:val="18"/>
              </w:rPr>
              <w:t>该指标反映了血液制剂和标本同源性状况。该指标宜用万分率，属于低优指标，比率越低越好。</w:t>
            </w:r>
          </w:p>
        </w:tc>
      </w:tr>
      <w:tr w:rsidR="00B37F7F" w14:paraId="47D7C94A" w14:textId="77777777">
        <w:trPr>
          <w:trHeight w:val="855"/>
          <w:jc w:val="center"/>
        </w:trPr>
        <w:tc>
          <w:tcPr>
            <w:tcW w:w="2117" w:type="dxa"/>
            <w:vAlign w:val="center"/>
          </w:tcPr>
          <w:p w14:paraId="6D07D7B5" w14:textId="77777777" w:rsidR="00B37F7F" w:rsidRDefault="00000000">
            <w:pPr>
              <w:rPr>
                <w:sz w:val="18"/>
                <w:szCs w:val="18"/>
              </w:rPr>
            </w:pPr>
            <w:r>
              <w:rPr>
                <w:rFonts w:hint="eastAsia"/>
                <w:sz w:val="18"/>
                <w:szCs w:val="18"/>
              </w:rPr>
              <w:t>采血部门血型检测错误率</w:t>
            </w:r>
            <w:r>
              <w:rPr>
                <w:sz w:val="18"/>
                <w:szCs w:val="18"/>
              </w:rPr>
              <w:t>(</w:t>
            </w:r>
            <w:r>
              <w:rPr>
                <w:rFonts w:eastAsia="MS Mincho"/>
                <w:sz w:val="18"/>
                <w:szCs w:val="18"/>
              </w:rPr>
              <w:t>‱</w:t>
            </w:r>
            <w:r>
              <w:rPr>
                <w:rFonts w:eastAsiaTheme="minorEastAsia"/>
                <w:sz w:val="18"/>
                <w:szCs w:val="18"/>
              </w:rPr>
              <w:t>)</w:t>
            </w:r>
          </w:p>
        </w:tc>
        <w:tc>
          <w:tcPr>
            <w:tcW w:w="4536" w:type="dxa"/>
            <w:vAlign w:val="center"/>
          </w:tcPr>
          <w:p w14:paraId="60EB2B12"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实验室确认采血部门血型检测错误数</m:t>
                    </m:r>
                  </m:num>
                  <m:den>
                    <m:r>
                      <m:rPr>
                        <m:sty m:val="p"/>
                      </m:rPr>
                      <w:rPr>
                        <w:rFonts w:ascii="Cambria Math" w:hAnsi="Cambria Math" w:hint="eastAsia"/>
                        <w:sz w:val="18"/>
                        <w:szCs w:val="18"/>
                      </w:rPr>
                      <m:t>血型检测标本数</m:t>
                    </m:r>
                  </m:den>
                </m:f>
                <m:r>
                  <m:rPr>
                    <m:sty m:val="p"/>
                  </m:rPr>
                  <w:rPr>
                    <w:rFonts w:ascii="Cambria Math" w:hAnsi="Cambria Math"/>
                    <w:sz w:val="18"/>
                    <w:szCs w:val="18"/>
                  </w:rPr>
                  <m:t>×</m:t>
                </m:r>
                <m:r>
                  <m:rPr>
                    <m:sty m:val="p"/>
                  </m:rPr>
                  <w:rPr>
                    <w:rFonts w:ascii="Cambria Math" w:hAnsi="Cambria Math" w:hint="eastAsia"/>
                    <w:sz w:val="18"/>
                    <w:szCs w:val="18"/>
                  </w:rPr>
                  <m:t>10</m:t>
                </m:r>
                <m:r>
                  <m:rPr>
                    <m:sty m:val="p"/>
                  </m:rPr>
                  <w:rPr>
                    <w:rFonts w:ascii="Cambria Math" w:hAnsi="Cambria Math"/>
                    <w:sz w:val="18"/>
                    <w:szCs w:val="18"/>
                  </w:rPr>
                  <m:t>00</m:t>
                </m:r>
                <m:r>
                  <m:rPr>
                    <m:sty m:val="p"/>
                  </m:rPr>
                  <w:rPr>
                    <w:rFonts w:ascii="Cambria Math" w:hAnsi="Cambria Math" w:hint="eastAsia"/>
                    <w:sz w:val="18"/>
                    <w:szCs w:val="18"/>
                  </w:rPr>
                  <m:t>0</m:t>
                </m:r>
                <m:r>
                  <m:rPr>
                    <m:sty m:val="p"/>
                  </m:rPr>
                  <w:rPr>
                    <w:rFonts w:eastAsia="MS Mincho"/>
                    <w:sz w:val="18"/>
                    <w:szCs w:val="18"/>
                  </w:rPr>
                  <m:t>‱</m:t>
                </m:r>
              </m:oMath>
            </m:oMathPara>
          </w:p>
        </w:tc>
        <w:tc>
          <w:tcPr>
            <w:tcW w:w="2054" w:type="dxa"/>
            <w:vAlign w:val="center"/>
          </w:tcPr>
          <w:p w14:paraId="38E0362B" w14:textId="77777777" w:rsidR="00B37F7F" w:rsidRDefault="00000000">
            <w:pPr>
              <w:jc w:val="left"/>
              <w:rPr>
                <w:sz w:val="18"/>
                <w:szCs w:val="18"/>
              </w:rPr>
            </w:pPr>
            <w:r>
              <w:rPr>
                <w:rFonts w:hint="eastAsia"/>
                <w:sz w:val="18"/>
                <w:szCs w:val="18"/>
              </w:rPr>
              <w:t>与标本血型检测结果有关，反映检测前血型测定结果的正确性。</w:t>
            </w:r>
          </w:p>
        </w:tc>
        <w:tc>
          <w:tcPr>
            <w:tcW w:w="4554" w:type="dxa"/>
          </w:tcPr>
          <w:p w14:paraId="0C8AE74A" w14:textId="77777777" w:rsidR="00B37F7F" w:rsidRDefault="00000000">
            <w:pPr>
              <w:jc w:val="left"/>
              <w:rPr>
                <w:sz w:val="18"/>
                <w:szCs w:val="18"/>
              </w:rPr>
            </w:pPr>
            <w:r>
              <w:rPr>
                <w:rFonts w:hint="eastAsia"/>
                <w:sz w:val="18"/>
                <w:szCs w:val="18"/>
              </w:rPr>
              <w:t>该指标反映了在血液制剂和标本同源性一致的情况下，采血部门血型检测结果错误状况。该指标宜用万分率，属于低优指标，比率越低越好。</w:t>
            </w:r>
          </w:p>
        </w:tc>
      </w:tr>
      <w:tr w:rsidR="00B37F7F" w14:paraId="2407F05E" w14:textId="77777777">
        <w:trPr>
          <w:trHeight w:val="462"/>
          <w:jc w:val="center"/>
        </w:trPr>
        <w:tc>
          <w:tcPr>
            <w:tcW w:w="2117" w:type="dxa"/>
          </w:tcPr>
          <w:p w14:paraId="3C51F9B2" w14:textId="77777777" w:rsidR="00B37F7F" w:rsidRDefault="00000000">
            <w:pPr>
              <w:rPr>
                <w:sz w:val="18"/>
                <w:szCs w:val="18"/>
              </w:rPr>
            </w:pPr>
            <w:r>
              <w:rPr>
                <w:sz w:val="18"/>
                <w:szCs w:val="18"/>
              </w:rPr>
              <w:t>ELISA</w:t>
            </w:r>
            <w:r>
              <w:rPr>
                <w:rFonts w:hint="eastAsia"/>
                <w:sz w:val="18"/>
                <w:szCs w:val="18"/>
              </w:rPr>
              <w:t>复检符合率（</w:t>
            </w:r>
            <w:r>
              <w:rPr>
                <w:rFonts w:hint="eastAsia"/>
                <w:sz w:val="18"/>
                <w:szCs w:val="18"/>
              </w:rPr>
              <w:t>%</w:t>
            </w:r>
            <w:r>
              <w:rPr>
                <w:rFonts w:hint="eastAsia"/>
                <w:sz w:val="18"/>
                <w:szCs w:val="18"/>
              </w:rPr>
              <w:t>）</w:t>
            </w:r>
          </w:p>
        </w:tc>
        <w:tc>
          <w:tcPr>
            <w:tcW w:w="4536" w:type="dxa"/>
          </w:tcPr>
          <w:p w14:paraId="2FE4E507" w14:textId="77777777" w:rsidR="00B37F7F" w:rsidRDefault="00000000">
            <w:pPr>
              <w:jc w:val="cente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cs="Cambria Math" w:hint="eastAsia"/>
                        <w:sz w:val="18"/>
                        <w:szCs w:val="18"/>
                      </w:rPr>
                      <m:t>重复检测为反应性标本数</m:t>
                    </m:r>
                  </m:num>
                  <m:den>
                    <m:r>
                      <m:rPr>
                        <m:sty m:val="p"/>
                      </m:rPr>
                      <w:rPr>
                        <w:rFonts w:ascii="Cambria Math" w:hAnsi="Cambria Math" w:cs="Cambria Math" w:hint="eastAsia"/>
                        <w:sz w:val="18"/>
                        <w:szCs w:val="18"/>
                      </w:rPr>
                      <m:t>初次检测为反应性需进行重复检测标本数</m:t>
                    </m:r>
                  </m:den>
                </m:f>
                <m:r>
                  <m:rPr>
                    <m:sty m:val="p"/>
                  </m:rPr>
                  <w:rPr>
                    <w:rFonts w:ascii="Cambria Math" w:hAnsi="Cambria Math"/>
                    <w:sz w:val="18"/>
                    <w:szCs w:val="18"/>
                  </w:rPr>
                  <m:t>×100%</m:t>
                </m:r>
              </m:oMath>
            </m:oMathPara>
          </w:p>
        </w:tc>
        <w:tc>
          <w:tcPr>
            <w:tcW w:w="2054" w:type="dxa"/>
          </w:tcPr>
          <w:p w14:paraId="7B32FC54" w14:textId="77777777" w:rsidR="00B37F7F" w:rsidRDefault="00000000">
            <w:pPr>
              <w:rPr>
                <w:sz w:val="18"/>
                <w:szCs w:val="18"/>
              </w:rPr>
            </w:pPr>
            <w:r>
              <w:rPr>
                <w:rFonts w:hint="eastAsia"/>
                <w:sz w:val="18"/>
                <w:szCs w:val="18"/>
              </w:rPr>
              <w:t>与</w:t>
            </w:r>
            <w:r>
              <w:rPr>
                <w:sz w:val="18"/>
                <w:szCs w:val="18"/>
              </w:rPr>
              <w:t>ELISA</w:t>
            </w:r>
            <w:r>
              <w:rPr>
                <w:rFonts w:hint="eastAsia"/>
                <w:sz w:val="18"/>
                <w:szCs w:val="18"/>
              </w:rPr>
              <w:t>检测重复性有关，反映免疫项目检测过程的稳定性。</w:t>
            </w:r>
          </w:p>
        </w:tc>
        <w:tc>
          <w:tcPr>
            <w:tcW w:w="4554" w:type="dxa"/>
          </w:tcPr>
          <w:p w14:paraId="6E072AF5" w14:textId="77777777" w:rsidR="00B37F7F" w:rsidRDefault="00000000">
            <w:pPr>
              <w:rPr>
                <w:sz w:val="18"/>
                <w:szCs w:val="18"/>
              </w:rPr>
            </w:pPr>
            <w:r>
              <w:rPr>
                <w:rFonts w:hint="eastAsia"/>
                <w:sz w:val="18"/>
                <w:szCs w:val="18"/>
              </w:rPr>
              <w:t>该指标变化受人员、设备、试剂、环境等因素的影响，可综合反映上述因素的总体影响。按照各</w:t>
            </w:r>
            <w:r>
              <w:rPr>
                <w:sz w:val="18"/>
                <w:szCs w:val="18"/>
              </w:rPr>
              <w:t>ELISA</w:t>
            </w:r>
            <w:r>
              <w:rPr>
                <w:rFonts w:hint="eastAsia"/>
                <w:sz w:val="18"/>
                <w:szCs w:val="18"/>
              </w:rPr>
              <w:t>试剂分别填报。该指标属于高优指标，比率越高越好。</w:t>
            </w:r>
          </w:p>
        </w:tc>
      </w:tr>
      <w:tr w:rsidR="00B37F7F" w14:paraId="1244977C" w14:textId="77777777">
        <w:trPr>
          <w:trHeight w:val="462"/>
          <w:jc w:val="center"/>
        </w:trPr>
        <w:tc>
          <w:tcPr>
            <w:tcW w:w="2117" w:type="dxa"/>
          </w:tcPr>
          <w:p w14:paraId="5F9D0742" w14:textId="77777777" w:rsidR="00B37F7F" w:rsidRDefault="00000000">
            <w:pPr>
              <w:rPr>
                <w:sz w:val="18"/>
                <w:szCs w:val="18"/>
              </w:rPr>
            </w:pPr>
            <w:r>
              <w:rPr>
                <w:sz w:val="18"/>
                <w:szCs w:val="18"/>
              </w:rPr>
              <w:t>ELISA</w:t>
            </w:r>
            <w:r>
              <w:rPr>
                <w:rFonts w:hint="eastAsia"/>
                <w:sz w:val="18"/>
                <w:szCs w:val="18"/>
              </w:rPr>
              <w:t>手工操作率（</w:t>
            </w:r>
            <w:r>
              <w:rPr>
                <w:rFonts w:hint="eastAsia"/>
                <w:sz w:val="18"/>
                <w:szCs w:val="18"/>
              </w:rPr>
              <w:t>%</w:t>
            </w:r>
            <w:r>
              <w:rPr>
                <w:rFonts w:hint="eastAsia"/>
                <w:sz w:val="18"/>
                <w:szCs w:val="18"/>
              </w:rPr>
              <w:t>）</w:t>
            </w:r>
          </w:p>
        </w:tc>
        <w:tc>
          <w:tcPr>
            <w:tcW w:w="4536" w:type="dxa"/>
          </w:tcPr>
          <w:p w14:paraId="262C6943"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ELSIA</m:t>
                    </m:r>
                    <m:r>
                      <m:rPr>
                        <m:sty m:val="p"/>
                      </m:rPr>
                      <w:rPr>
                        <w:rFonts w:ascii="Cambria Math" w:hAnsi="Cambria Math" w:hint="eastAsia"/>
                        <w:sz w:val="18"/>
                        <w:szCs w:val="18"/>
                      </w:rPr>
                      <m:t>手工操作板数</m:t>
                    </m:r>
                  </m:num>
                  <m:den>
                    <m:r>
                      <m:rPr>
                        <m:sty m:val="p"/>
                      </m:rPr>
                      <w:rPr>
                        <w:rFonts w:ascii="Cambria Math" w:hAnsi="Cambria Math"/>
                        <w:sz w:val="18"/>
                        <w:szCs w:val="18"/>
                      </w:rPr>
                      <m:t>ELISA</m:t>
                    </m:r>
                    <m:r>
                      <m:rPr>
                        <m:sty m:val="p"/>
                      </m:rPr>
                      <w:rPr>
                        <w:rFonts w:ascii="Cambria Math" w:hAnsi="Cambria Math" w:hint="eastAsia"/>
                        <w:sz w:val="18"/>
                        <w:szCs w:val="18"/>
                      </w:rPr>
                      <m:t>检测总板数</m:t>
                    </m:r>
                  </m:den>
                </m:f>
                <m:r>
                  <m:rPr>
                    <m:sty m:val="p"/>
                  </m:rPr>
                  <w:rPr>
                    <w:rFonts w:ascii="Cambria Math" w:hAnsi="Cambria Math"/>
                    <w:sz w:val="18"/>
                    <w:szCs w:val="18"/>
                  </w:rPr>
                  <m:t>×100%</m:t>
                </m:r>
              </m:oMath>
            </m:oMathPara>
          </w:p>
        </w:tc>
        <w:tc>
          <w:tcPr>
            <w:tcW w:w="2054" w:type="dxa"/>
          </w:tcPr>
          <w:p w14:paraId="10CEF39A" w14:textId="77777777" w:rsidR="00B37F7F" w:rsidRDefault="00000000">
            <w:pPr>
              <w:rPr>
                <w:sz w:val="18"/>
                <w:szCs w:val="18"/>
              </w:rPr>
            </w:pPr>
            <w:r>
              <w:rPr>
                <w:rFonts w:hint="eastAsia"/>
                <w:sz w:val="18"/>
                <w:szCs w:val="18"/>
              </w:rPr>
              <w:t>与</w:t>
            </w:r>
            <w:r>
              <w:rPr>
                <w:sz w:val="18"/>
                <w:szCs w:val="18"/>
              </w:rPr>
              <w:t>ELISA</w:t>
            </w:r>
            <w:r>
              <w:rPr>
                <w:rFonts w:hint="eastAsia"/>
                <w:sz w:val="18"/>
                <w:szCs w:val="18"/>
              </w:rPr>
              <w:t>检测过程有关，反映检测过程的自动化覆盖程度。</w:t>
            </w:r>
          </w:p>
        </w:tc>
        <w:tc>
          <w:tcPr>
            <w:tcW w:w="4554" w:type="dxa"/>
            <w:vAlign w:val="center"/>
          </w:tcPr>
          <w:p w14:paraId="6E6420A0" w14:textId="77777777" w:rsidR="00B37F7F" w:rsidRDefault="00000000">
            <w:pPr>
              <w:rPr>
                <w:sz w:val="18"/>
                <w:szCs w:val="18"/>
              </w:rPr>
            </w:pPr>
            <w:r>
              <w:rPr>
                <w:rFonts w:hint="eastAsia"/>
                <w:sz w:val="18"/>
                <w:szCs w:val="18"/>
              </w:rPr>
              <w:t>ELISA</w:t>
            </w:r>
            <w:r>
              <w:rPr>
                <w:rFonts w:hint="eastAsia"/>
                <w:sz w:val="18"/>
                <w:szCs w:val="18"/>
              </w:rPr>
              <w:t>手工操作板数是指从加样到检测结果读取的试验过程中任一实验步骤由半自动设备和（或）手工完成的</w:t>
            </w:r>
            <w:r>
              <w:rPr>
                <w:rFonts w:hint="eastAsia"/>
                <w:sz w:val="18"/>
                <w:szCs w:val="18"/>
              </w:rPr>
              <w:t>ELISA</w:t>
            </w:r>
            <w:r>
              <w:rPr>
                <w:rFonts w:hint="eastAsia"/>
                <w:sz w:val="18"/>
                <w:szCs w:val="18"/>
              </w:rPr>
              <w:t>试验板数。一般由于实验室设备资源不充分或完好性不足，导致</w:t>
            </w:r>
            <w:r>
              <w:rPr>
                <w:rFonts w:hint="eastAsia"/>
                <w:sz w:val="18"/>
                <w:szCs w:val="18"/>
              </w:rPr>
              <w:t>ELISA</w:t>
            </w:r>
            <w:r>
              <w:rPr>
                <w:rFonts w:hint="eastAsia"/>
                <w:sz w:val="18"/>
                <w:szCs w:val="18"/>
              </w:rPr>
              <w:t>试验无法由全自动设备完成，转为手工进行全部或部分后续检测。该指标属于低优指标，指标值越低越好。</w:t>
            </w:r>
          </w:p>
        </w:tc>
      </w:tr>
      <w:tr w:rsidR="00B37F7F" w14:paraId="28BF6DB2" w14:textId="77777777">
        <w:trPr>
          <w:trHeight w:val="462"/>
          <w:jc w:val="center"/>
        </w:trPr>
        <w:tc>
          <w:tcPr>
            <w:tcW w:w="2117" w:type="dxa"/>
          </w:tcPr>
          <w:p w14:paraId="6C741F2D" w14:textId="77777777" w:rsidR="00B37F7F" w:rsidRDefault="00000000">
            <w:pPr>
              <w:rPr>
                <w:sz w:val="18"/>
                <w:szCs w:val="18"/>
              </w:rPr>
            </w:pPr>
            <w:r>
              <w:rPr>
                <w:sz w:val="18"/>
                <w:szCs w:val="18"/>
              </w:rPr>
              <w:lastRenderedPageBreak/>
              <w:t>ELISA</w:t>
            </w:r>
            <w:r>
              <w:rPr>
                <w:rFonts w:hint="eastAsia"/>
                <w:sz w:val="18"/>
                <w:szCs w:val="18"/>
              </w:rPr>
              <w:t>中断率（</w:t>
            </w:r>
            <w:r>
              <w:rPr>
                <w:rFonts w:hint="eastAsia"/>
                <w:sz w:val="18"/>
                <w:szCs w:val="18"/>
              </w:rPr>
              <w:t>%</w:t>
            </w:r>
            <w:r>
              <w:rPr>
                <w:rFonts w:hint="eastAsia"/>
                <w:sz w:val="18"/>
                <w:szCs w:val="18"/>
              </w:rPr>
              <w:t>）</w:t>
            </w:r>
          </w:p>
        </w:tc>
        <w:tc>
          <w:tcPr>
            <w:tcW w:w="4536" w:type="dxa"/>
          </w:tcPr>
          <w:p w14:paraId="3DDCE4DA"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ELSIA</m:t>
                    </m:r>
                    <m:r>
                      <m:rPr>
                        <m:sty m:val="p"/>
                      </m:rPr>
                      <w:rPr>
                        <w:rFonts w:ascii="Cambria Math" w:hAnsi="Cambria Math" w:hint="eastAsia"/>
                        <w:sz w:val="18"/>
                        <w:szCs w:val="18"/>
                      </w:rPr>
                      <m:t>中断板数</m:t>
                    </m:r>
                  </m:num>
                  <m:den>
                    <m:r>
                      <m:rPr>
                        <m:sty m:val="p"/>
                      </m:rPr>
                      <w:rPr>
                        <w:rFonts w:ascii="Cambria Math" w:hAnsi="Cambria Math" w:cs="Cambria Math"/>
                        <w:sz w:val="18"/>
                        <w:szCs w:val="18"/>
                      </w:rPr>
                      <m:t>ELISA</m:t>
                    </m:r>
                    <m:r>
                      <m:rPr>
                        <m:sty m:val="p"/>
                      </m:rPr>
                      <w:rPr>
                        <w:rFonts w:ascii="Cambria Math" w:hAnsi="Cambria Math" w:cs="Cambria Math" w:hint="eastAsia"/>
                        <w:sz w:val="18"/>
                        <w:szCs w:val="18"/>
                      </w:rPr>
                      <m:t>检测总板数</m:t>
                    </m:r>
                  </m:den>
                </m:f>
                <m:r>
                  <m:rPr>
                    <m:sty m:val="p"/>
                  </m:rPr>
                  <w:rPr>
                    <w:rFonts w:ascii="Cambria Math" w:hAnsi="Cambria Math"/>
                    <w:sz w:val="18"/>
                    <w:szCs w:val="18"/>
                  </w:rPr>
                  <m:t>×100%</m:t>
                </m:r>
              </m:oMath>
            </m:oMathPara>
          </w:p>
        </w:tc>
        <w:tc>
          <w:tcPr>
            <w:tcW w:w="2054" w:type="dxa"/>
          </w:tcPr>
          <w:p w14:paraId="5E44616D" w14:textId="77777777" w:rsidR="00B37F7F" w:rsidRDefault="00000000">
            <w:pPr>
              <w:rPr>
                <w:sz w:val="18"/>
                <w:szCs w:val="18"/>
              </w:rPr>
            </w:pPr>
            <w:r>
              <w:rPr>
                <w:rFonts w:hint="eastAsia"/>
                <w:sz w:val="18"/>
                <w:szCs w:val="18"/>
              </w:rPr>
              <w:t>与</w:t>
            </w:r>
            <w:r>
              <w:rPr>
                <w:sz w:val="18"/>
                <w:szCs w:val="18"/>
              </w:rPr>
              <w:t>ELISA</w:t>
            </w:r>
            <w:r>
              <w:rPr>
                <w:rFonts w:hint="eastAsia"/>
                <w:sz w:val="18"/>
                <w:szCs w:val="18"/>
              </w:rPr>
              <w:t>检测过程有关，反映检测设备运行情况及检测过程的顺畅性。</w:t>
            </w:r>
          </w:p>
        </w:tc>
        <w:tc>
          <w:tcPr>
            <w:tcW w:w="4554" w:type="dxa"/>
          </w:tcPr>
          <w:p w14:paraId="005A7176" w14:textId="77777777" w:rsidR="00B37F7F" w:rsidRDefault="00000000">
            <w:pPr>
              <w:rPr>
                <w:sz w:val="18"/>
                <w:szCs w:val="18"/>
              </w:rPr>
            </w:pPr>
            <w:r>
              <w:rPr>
                <w:sz w:val="18"/>
                <w:szCs w:val="18"/>
              </w:rPr>
              <w:t>ELISA</w:t>
            </w:r>
            <w:r>
              <w:rPr>
                <w:rFonts w:hint="eastAsia"/>
                <w:sz w:val="18"/>
                <w:szCs w:val="18"/>
              </w:rPr>
              <w:t>中断板数是指在全自动设备试验过程中因任何原因导致任一实验步骤有手工干预的</w:t>
            </w:r>
            <w:r>
              <w:rPr>
                <w:sz w:val="18"/>
                <w:szCs w:val="18"/>
              </w:rPr>
              <w:t>ELISA</w:t>
            </w:r>
            <w:r>
              <w:rPr>
                <w:rFonts w:hint="eastAsia"/>
                <w:sz w:val="18"/>
                <w:szCs w:val="18"/>
              </w:rPr>
              <w:t>试验板数，包括中断后全部由手工和半自动设备操作完成、中断后继续由全自动设备操作完成。该指标属于低优指标，指标值越低越好。</w:t>
            </w:r>
          </w:p>
        </w:tc>
      </w:tr>
      <w:tr w:rsidR="00B37F7F" w14:paraId="72A2D034" w14:textId="77777777">
        <w:trPr>
          <w:trHeight w:val="462"/>
          <w:jc w:val="center"/>
        </w:trPr>
        <w:tc>
          <w:tcPr>
            <w:tcW w:w="2117" w:type="dxa"/>
          </w:tcPr>
          <w:p w14:paraId="52E0177D" w14:textId="77777777" w:rsidR="00B37F7F" w:rsidRDefault="00000000">
            <w:pPr>
              <w:rPr>
                <w:sz w:val="18"/>
                <w:szCs w:val="18"/>
              </w:rPr>
            </w:pPr>
            <w:r>
              <w:rPr>
                <w:sz w:val="18"/>
                <w:szCs w:val="18"/>
              </w:rPr>
              <w:t>NAT</w:t>
            </w:r>
            <w:r>
              <w:rPr>
                <w:rFonts w:hint="eastAsia"/>
                <w:sz w:val="18"/>
                <w:szCs w:val="18"/>
              </w:rPr>
              <w:t>单反应性率（</w:t>
            </w:r>
            <w:r>
              <w:rPr>
                <w:rFonts w:hint="eastAsia"/>
                <w:sz w:val="18"/>
                <w:szCs w:val="18"/>
              </w:rPr>
              <w:t>%</w:t>
            </w:r>
            <w:r>
              <w:rPr>
                <w:rFonts w:hint="eastAsia"/>
                <w:sz w:val="18"/>
                <w:szCs w:val="18"/>
              </w:rPr>
              <w:t>）</w:t>
            </w:r>
          </w:p>
        </w:tc>
        <w:tc>
          <w:tcPr>
            <w:tcW w:w="4536" w:type="dxa"/>
          </w:tcPr>
          <w:p w14:paraId="79F1E5C2" w14:textId="77777777" w:rsidR="00B37F7F" w:rsidRDefault="00000000">
            <w:pPr>
              <w:jc w:val="cente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cs="Cambria Math"/>
                        <w:sz w:val="18"/>
                        <w:szCs w:val="18"/>
                      </w:rPr>
                      <m:t>NAT</m:t>
                    </m:r>
                    <m:r>
                      <m:rPr>
                        <m:sty m:val="p"/>
                      </m:rPr>
                      <w:rPr>
                        <w:rFonts w:ascii="Cambria Math" w:hAnsi="Cambria Math" w:cs="Cambria Math" w:hint="eastAsia"/>
                        <w:sz w:val="18"/>
                        <w:szCs w:val="18"/>
                      </w:rPr>
                      <m:t>单反应性标本数</m:t>
                    </m:r>
                  </m:num>
                  <m:den>
                    <m:r>
                      <m:rPr>
                        <m:sty m:val="p"/>
                      </m:rPr>
                      <w:rPr>
                        <w:rFonts w:ascii="Cambria Math" w:hAnsi="Cambria Math" w:cs="Cambria Math"/>
                        <w:sz w:val="18"/>
                        <w:szCs w:val="18"/>
                      </w:rPr>
                      <m:t>NAT</m:t>
                    </m:r>
                    <m:r>
                      <m:rPr>
                        <m:sty m:val="p"/>
                      </m:rPr>
                      <w:rPr>
                        <w:rFonts w:ascii="Cambria Math" w:hAnsi="Cambria Math" w:cs="Cambria Math" w:hint="eastAsia"/>
                        <w:sz w:val="18"/>
                        <w:szCs w:val="18"/>
                      </w:rPr>
                      <m:t>检测标本数</m:t>
                    </m:r>
                  </m:den>
                </m:f>
                <m:r>
                  <m:rPr>
                    <m:sty m:val="p"/>
                  </m:rPr>
                  <w:rPr>
                    <w:rFonts w:ascii="Cambria Math" w:hAnsi="Cambria Math"/>
                    <w:sz w:val="18"/>
                    <w:szCs w:val="18"/>
                  </w:rPr>
                  <m:t>×100%</m:t>
                </m:r>
              </m:oMath>
            </m:oMathPara>
          </w:p>
        </w:tc>
        <w:tc>
          <w:tcPr>
            <w:tcW w:w="2054" w:type="dxa"/>
          </w:tcPr>
          <w:p w14:paraId="50082B07" w14:textId="77777777" w:rsidR="00B37F7F" w:rsidRDefault="00000000">
            <w:pPr>
              <w:jc w:val="left"/>
              <w:rPr>
                <w:sz w:val="18"/>
                <w:szCs w:val="18"/>
              </w:rPr>
            </w:pPr>
            <w:r>
              <w:rPr>
                <w:rFonts w:hint="eastAsia"/>
                <w:sz w:val="18"/>
                <w:szCs w:val="18"/>
              </w:rPr>
              <w:t>与</w:t>
            </w:r>
            <w:r>
              <w:rPr>
                <w:sz w:val="18"/>
                <w:szCs w:val="18"/>
              </w:rPr>
              <w:t>NAT</w:t>
            </w:r>
            <w:r>
              <w:rPr>
                <w:rFonts w:hint="eastAsia"/>
                <w:sz w:val="18"/>
                <w:szCs w:val="18"/>
              </w:rPr>
              <w:t>检测效能有关，反映核酸检测检测过程的稳定性和核酸检测对血液安全的贡献。</w:t>
            </w:r>
          </w:p>
        </w:tc>
        <w:tc>
          <w:tcPr>
            <w:tcW w:w="4554" w:type="dxa"/>
          </w:tcPr>
          <w:p w14:paraId="64678694" w14:textId="77777777" w:rsidR="00B37F7F" w:rsidRDefault="00000000">
            <w:pPr>
              <w:jc w:val="left"/>
              <w:rPr>
                <w:sz w:val="18"/>
                <w:szCs w:val="18"/>
              </w:rPr>
            </w:pPr>
            <w:r>
              <w:rPr>
                <w:sz w:val="18"/>
                <w:szCs w:val="18"/>
              </w:rPr>
              <w:t>NAT</w:t>
            </w:r>
            <w:r>
              <w:rPr>
                <w:rFonts w:hint="eastAsia"/>
                <w:sz w:val="18"/>
                <w:szCs w:val="18"/>
              </w:rPr>
              <w:t>单反应性标本指</w:t>
            </w:r>
            <w:r>
              <w:rPr>
                <w:sz w:val="18"/>
                <w:szCs w:val="18"/>
              </w:rPr>
              <w:t>ELISA</w:t>
            </w:r>
            <w:r>
              <w:rPr>
                <w:rFonts w:hint="eastAsia"/>
                <w:sz w:val="18"/>
                <w:szCs w:val="18"/>
              </w:rPr>
              <w:t>为无反应性而</w:t>
            </w:r>
            <w:r>
              <w:rPr>
                <w:sz w:val="18"/>
                <w:szCs w:val="18"/>
              </w:rPr>
              <w:t>NAT</w:t>
            </w:r>
            <w:r>
              <w:rPr>
                <w:rFonts w:hint="eastAsia"/>
                <w:sz w:val="18"/>
                <w:szCs w:val="18"/>
              </w:rPr>
              <w:t>为反应性的标本。该指标一方面反映了引入</w:t>
            </w:r>
            <w:r>
              <w:rPr>
                <w:sz w:val="18"/>
                <w:szCs w:val="18"/>
              </w:rPr>
              <w:t>NAT</w:t>
            </w:r>
            <w:r>
              <w:rPr>
                <w:rFonts w:hint="eastAsia"/>
                <w:sz w:val="18"/>
                <w:szCs w:val="18"/>
              </w:rPr>
              <w:t>检测后的功效，另一方面该指标的异常升高提示实验室潜在的阳性污染或其他情况。</w:t>
            </w:r>
          </w:p>
        </w:tc>
      </w:tr>
      <w:tr w:rsidR="00B37F7F" w14:paraId="1D176B62" w14:textId="77777777">
        <w:trPr>
          <w:trHeight w:val="462"/>
          <w:jc w:val="center"/>
        </w:trPr>
        <w:tc>
          <w:tcPr>
            <w:tcW w:w="2117" w:type="dxa"/>
          </w:tcPr>
          <w:p w14:paraId="6B1A3F11" w14:textId="77777777" w:rsidR="00B37F7F" w:rsidRDefault="00000000">
            <w:pPr>
              <w:pStyle w:val="affff1"/>
              <w:spacing w:before="156" w:after="156"/>
              <w:jc w:val="both"/>
              <w:rPr>
                <w:rFonts w:ascii="Times New Roman" w:eastAsia="宋体"/>
                <w:sz w:val="18"/>
                <w:szCs w:val="18"/>
              </w:rPr>
            </w:pPr>
            <w:r>
              <w:rPr>
                <w:rFonts w:ascii="Times New Roman" w:eastAsia="宋体"/>
                <w:sz w:val="18"/>
                <w:szCs w:val="18"/>
              </w:rPr>
              <w:t>HBV DNA</w:t>
            </w:r>
            <w:r>
              <w:rPr>
                <w:rFonts w:ascii="Times New Roman" w:eastAsia="宋体" w:hint="eastAsia"/>
                <w:sz w:val="18"/>
                <w:szCs w:val="18"/>
              </w:rPr>
              <w:t>单反应性率</w:t>
            </w:r>
            <w:r>
              <w:rPr>
                <w:rFonts w:asciiTheme="minorEastAsia" w:eastAsiaTheme="minorEastAsia" w:hAnsiTheme="minorEastAsia" w:hint="eastAsia"/>
                <w:sz w:val="18"/>
                <w:szCs w:val="18"/>
              </w:rPr>
              <w:t>（</w:t>
            </w:r>
            <w:r>
              <w:rPr>
                <w:rFonts w:ascii="Times New Roman" w:eastAsiaTheme="minorEastAsia"/>
                <w:sz w:val="18"/>
                <w:szCs w:val="18"/>
              </w:rPr>
              <w:t>%</w:t>
            </w:r>
            <w:r>
              <w:rPr>
                <w:rFonts w:asciiTheme="minorEastAsia" w:eastAsiaTheme="minorEastAsia" w:hAnsiTheme="minorEastAsia" w:hint="eastAsia"/>
                <w:sz w:val="18"/>
                <w:szCs w:val="18"/>
              </w:rPr>
              <w:t>）</w:t>
            </w:r>
          </w:p>
        </w:tc>
        <w:tc>
          <w:tcPr>
            <w:tcW w:w="4536" w:type="dxa"/>
          </w:tcPr>
          <w:p w14:paraId="68F269D5" w14:textId="77777777" w:rsidR="00B37F7F" w:rsidRDefault="00000000">
            <w:pPr>
              <w:jc w:val="cente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HBV DNA</m:t>
                    </m:r>
                    <m:r>
                      <m:rPr>
                        <m:sty m:val="p"/>
                      </m:rPr>
                      <w:rPr>
                        <w:rFonts w:ascii="Cambria Math" w:hAnsi="Cambria Math" w:hint="eastAsia"/>
                        <w:sz w:val="18"/>
                        <w:szCs w:val="18"/>
                      </w:rPr>
                      <m:t>单反应性标本数</m:t>
                    </m:r>
                  </m:num>
                  <m:den>
                    <m:r>
                      <m:rPr>
                        <m:sty m:val="p"/>
                      </m:rPr>
                      <w:rPr>
                        <w:rFonts w:ascii="Cambria Math" w:hAnsi="Cambria Math" w:cs="Cambria Math"/>
                        <w:sz w:val="18"/>
                        <w:szCs w:val="18"/>
                      </w:rPr>
                      <m:t>NAT</m:t>
                    </m:r>
                    <m:r>
                      <m:rPr>
                        <m:sty m:val="p"/>
                      </m:rPr>
                      <w:rPr>
                        <w:rFonts w:ascii="Cambria Math" w:hAnsi="Cambria Math" w:cs="Cambria Math" w:hint="eastAsia"/>
                        <w:sz w:val="18"/>
                        <w:szCs w:val="18"/>
                      </w:rPr>
                      <m:t>检测标本数</m:t>
                    </m:r>
                  </m:den>
                </m:f>
                <m:r>
                  <m:rPr>
                    <m:sty m:val="p"/>
                  </m:rPr>
                  <w:rPr>
                    <w:rFonts w:ascii="Cambria Math" w:hAnsi="Cambria Math"/>
                    <w:sz w:val="18"/>
                    <w:szCs w:val="18"/>
                  </w:rPr>
                  <m:t>×100%</m:t>
                </m:r>
              </m:oMath>
            </m:oMathPara>
          </w:p>
        </w:tc>
        <w:tc>
          <w:tcPr>
            <w:tcW w:w="2054" w:type="dxa"/>
          </w:tcPr>
          <w:p w14:paraId="36D2F78E" w14:textId="77777777" w:rsidR="00B37F7F" w:rsidRDefault="00000000">
            <w:pPr>
              <w:jc w:val="left"/>
              <w:rPr>
                <w:sz w:val="18"/>
                <w:szCs w:val="18"/>
              </w:rPr>
            </w:pPr>
            <w:r>
              <w:rPr>
                <w:rFonts w:hAnsi="Cambria Math" w:hint="eastAsia"/>
                <w:sz w:val="18"/>
                <w:szCs w:val="18"/>
              </w:rPr>
              <w:t>与</w:t>
            </w:r>
            <w:r>
              <w:rPr>
                <w:sz w:val="18"/>
                <w:szCs w:val="18"/>
              </w:rPr>
              <w:t>NAT</w:t>
            </w:r>
            <w:r>
              <w:rPr>
                <w:rFonts w:hAnsi="Cambria Math" w:hint="eastAsia"/>
                <w:sz w:val="18"/>
                <w:szCs w:val="18"/>
              </w:rPr>
              <w:t>检测结果有关，反映</w:t>
            </w:r>
            <w:r>
              <w:rPr>
                <w:sz w:val="18"/>
                <w:szCs w:val="18"/>
              </w:rPr>
              <w:t>HBV DNA</w:t>
            </w:r>
            <w:r>
              <w:rPr>
                <w:rFonts w:hAnsi="Cambria Math" w:hint="eastAsia"/>
                <w:sz w:val="18"/>
                <w:szCs w:val="18"/>
              </w:rPr>
              <w:t>窗口期或隐匿性感染的检出情况。</w:t>
            </w:r>
          </w:p>
        </w:tc>
        <w:tc>
          <w:tcPr>
            <w:tcW w:w="4554" w:type="dxa"/>
          </w:tcPr>
          <w:p w14:paraId="566FE0FF" w14:textId="77777777" w:rsidR="00B37F7F" w:rsidRDefault="00000000">
            <w:pPr>
              <w:jc w:val="left"/>
              <w:rPr>
                <w:sz w:val="18"/>
                <w:szCs w:val="18"/>
              </w:rPr>
            </w:pPr>
            <w:r>
              <w:rPr>
                <w:sz w:val="18"/>
                <w:szCs w:val="18"/>
              </w:rPr>
              <w:t>HBV DNA</w:t>
            </w:r>
            <w:r>
              <w:rPr>
                <w:rFonts w:hint="eastAsia"/>
                <w:sz w:val="18"/>
                <w:szCs w:val="18"/>
              </w:rPr>
              <w:t>单反应性标本指</w:t>
            </w:r>
            <w:r>
              <w:rPr>
                <w:sz w:val="18"/>
                <w:szCs w:val="18"/>
              </w:rPr>
              <w:t>HBsAg ELISA</w:t>
            </w:r>
            <w:r>
              <w:rPr>
                <w:rFonts w:hint="eastAsia"/>
                <w:sz w:val="18"/>
                <w:szCs w:val="18"/>
              </w:rPr>
              <w:t>为无反应性而</w:t>
            </w:r>
            <w:r>
              <w:rPr>
                <w:sz w:val="18"/>
                <w:szCs w:val="18"/>
              </w:rPr>
              <w:t>HBV DNA</w:t>
            </w:r>
            <w:r>
              <w:rPr>
                <w:rFonts w:hint="eastAsia"/>
                <w:sz w:val="18"/>
                <w:szCs w:val="18"/>
              </w:rPr>
              <w:t>为反应性的标本，该指标一方面反映了引入</w:t>
            </w:r>
            <w:r>
              <w:rPr>
                <w:sz w:val="18"/>
                <w:szCs w:val="18"/>
              </w:rPr>
              <w:t>NAT</w:t>
            </w:r>
            <w:r>
              <w:rPr>
                <w:rFonts w:hint="eastAsia"/>
                <w:sz w:val="18"/>
                <w:szCs w:val="18"/>
              </w:rPr>
              <w:t>检测后的功效，另一方面该指标的异常升高提示实验室潜在的阳性污染或其他情况。</w:t>
            </w:r>
          </w:p>
        </w:tc>
      </w:tr>
      <w:tr w:rsidR="00B37F7F" w14:paraId="346AE850" w14:textId="77777777">
        <w:trPr>
          <w:trHeight w:val="462"/>
          <w:jc w:val="center"/>
        </w:trPr>
        <w:tc>
          <w:tcPr>
            <w:tcW w:w="2117" w:type="dxa"/>
          </w:tcPr>
          <w:p w14:paraId="267F52CA" w14:textId="77777777" w:rsidR="00B37F7F" w:rsidRDefault="00000000">
            <w:pPr>
              <w:pStyle w:val="affff1"/>
              <w:spacing w:before="156" w:after="156"/>
              <w:jc w:val="both"/>
              <w:rPr>
                <w:rFonts w:ascii="Times New Roman" w:eastAsia="宋体"/>
                <w:sz w:val="18"/>
                <w:szCs w:val="18"/>
              </w:rPr>
            </w:pPr>
            <w:r>
              <w:rPr>
                <w:rFonts w:ascii="Times New Roman" w:eastAsia="宋体"/>
                <w:sz w:val="18"/>
                <w:szCs w:val="18"/>
              </w:rPr>
              <w:t>HIV RNA</w:t>
            </w:r>
            <w:r>
              <w:rPr>
                <w:rFonts w:ascii="Times New Roman" w:eastAsia="宋体" w:hint="eastAsia"/>
                <w:sz w:val="18"/>
                <w:szCs w:val="18"/>
              </w:rPr>
              <w:t>单反应性率</w:t>
            </w:r>
            <w:r>
              <w:rPr>
                <w:rFonts w:ascii="宋体" w:eastAsia="宋体" w:hAnsi="宋体" w:hint="eastAsia"/>
                <w:sz w:val="18"/>
                <w:szCs w:val="18"/>
              </w:rPr>
              <w:t>（</w:t>
            </w:r>
            <w:r>
              <w:rPr>
                <w:rFonts w:ascii="Times New Roman" w:eastAsia="宋体"/>
                <w:sz w:val="18"/>
                <w:szCs w:val="18"/>
              </w:rPr>
              <w:t>%</w:t>
            </w:r>
            <w:r>
              <w:rPr>
                <w:rFonts w:ascii="宋体" w:eastAsia="宋体" w:hAnsi="宋体" w:hint="eastAsia"/>
                <w:sz w:val="18"/>
                <w:szCs w:val="18"/>
              </w:rPr>
              <w:t>）</w:t>
            </w:r>
          </w:p>
        </w:tc>
        <w:tc>
          <w:tcPr>
            <w:tcW w:w="4536" w:type="dxa"/>
          </w:tcPr>
          <w:p w14:paraId="7D97CE18"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HIV RNA</m:t>
                    </m:r>
                    <m:r>
                      <m:rPr>
                        <m:sty m:val="p"/>
                      </m:rPr>
                      <w:rPr>
                        <w:rFonts w:ascii="Cambria Math" w:hAnsi="Cambria Math" w:hint="eastAsia"/>
                        <w:sz w:val="18"/>
                        <w:szCs w:val="18"/>
                      </w:rPr>
                      <m:t>单反应性标本数</m:t>
                    </m:r>
                  </m:num>
                  <m:den>
                    <m:r>
                      <m:rPr>
                        <m:sty m:val="p"/>
                      </m:rPr>
                      <w:rPr>
                        <w:rFonts w:ascii="Cambria Math" w:hAnsi="Cambria Math" w:cs="Cambria Math"/>
                        <w:sz w:val="18"/>
                        <w:szCs w:val="18"/>
                      </w:rPr>
                      <m:t>NAT</m:t>
                    </m:r>
                    <m:r>
                      <m:rPr>
                        <m:sty m:val="p"/>
                      </m:rPr>
                      <w:rPr>
                        <w:rFonts w:ascii="Cambria Math" w:hAnsi="Cambria Math" w:cs="Cambria Math" w:hint="eastAsia"/>
                        <w:sz w:val="18"/>
                        <w:szCs w:val="18"/>
                      </w:rPr>
                      <m:t>检测标本数</m:t>
                    </m:r>
                  </m:den>
                </m:f>
                <m:r>
                  <m:rPr>
                    <m:sty m:val="p"/>
                  </m:rPr>
                  <w:rPr>
                    <w:rFonts w:ascii="Cambria Math" w:hAnsi="Cambria Math"/>
                    <w:sz w:val="18"/>
                    <w:szCs w:val="18"/>
                  </w:rPr>
                  <m:t>×100%</m:t>
                </m:r>
              </m:oMath>
            </m:oMathPara>
          </w:p>
        </w:tc>
        <w:tc>
          <w:tcPr>
            <w:tcW w:w="2054" w:type="dxa"/>
          </w:tcPr>
          <w:p w14:paraId="43CA7032" w14:textId="77777777" w:rsidR="00B37F7F" w:rsidRDefault="00000000">
            <w:pPr>
              <w:jc w:val="left"/>
              <w:rPr>
                <w:sz w:val="18"/>
                <w:szCs w:val="18"/>
              </w:rPr>
            </w:pPr>
            <w:r>
              <w:rPr>
                <w:rFonts w:hAnsi="Cambria Math" w:hint="eastAsia"/>
                <w:sz w:val="18"/>
                <w:szCs w:val="18"/>
              </w:rPr>
              <w:t>与</w:t>
            </w:r>
            <w:r>
              <w:rPr>
                <w:sz w:val="18"/>
                <w:szCs w:val="18"/>
              </w:rPr>
              <w:t>NAT</w:t>
            </w:r>
            <w:r>
              <w:rPr>
                <w:rFonts w:hAnsi="Cambria Math" w:hint="eastAsia"/>
                <w:sz w:val="18"/>
                <w:szCs w:val="18"/>
              </w:rPr>
              <w:t>检测结果有关，反映</w:t>
            </w:r>
            <w:r>
              <w:rPr>
                <w:sz w:val="18"/>
                <w:szCs w:val="18"/>
              </w:rPr>
              <w:t>HIV RNA</w:t>
            </w:r>
            <w:r>
              <w:rPr>
                <w:rFonts w:hAnsi="Cambria Math" w:hint="eastAsia"/>
                <w:sz w:val="18"/>
                <w:szCs w:val="18"/>
              </w:rPr>
              <w:t>窗口期的检出情况。</w:t>
            </w:r>
          </w:p>
        </w:tc>
        <w:tc>
          <w:tcPr>
            <w:tcW w:w="4554" w:type="dxa"/>
          </w:tcPr>
          <w:p w14:paraId="483F0335" w14:textId="77777777" w:rsidR="00B37F7F" w:rsidRDefault="00000000">
            <w:pPr>
              <w:jc w:val="left"/>
              <w:rPr>
                <w:sz w:val="18"/>
                <w:szCs w:val="18"/>
              </w:rPr>
            </w:pPr>
            <w:r>
              <w:rPr>
                <w:sz w:val="18"/>
                <w:szCs w:val="18"/>
              </w:rPr>
              <w:t>HIV RNA</w:t>
            </w:r>
            <w:r>
              <w:rPr>
                <w:rFonts w:hint="eastAsia"/>
                <w:sz w:val="18"/>
                <w:szCs w:val="18"/>
              </w:rPr>
              <w:t>单反应性标本指</w:t>
            </w:r>
            <w:r>
              <w:rPr>
                <w:sz w:val="18"/>
                <w:szCs w:val="18"/>
              </w:rPr>
              <w:t>HIV</w:t>
            </w:r>
            <w:r>
              <w:rPr>
                <w:rFonts w:hint="eastAsia"/>
                <w:sz w:val="18"/>
                <w:szCs w:val="18"/>
              </w:rPr>
              <w:t>抗体或</w:t>
            </w:r>
            <w:r>
              <w:rPr>
                <w:sz w:val="18"/>
                <w:szCs w:val="18"/>
              </w:rPr>
              <w:t>HIV</w:t>
            </w:r>
            <w:r>
              <w:rPr>
                <w:rFonts w:hint="eastAsia"/>
                <w:sz w:val="18"/>
                <w:szCs w:val="18"/>
              </w:rPr>
              <w:t>抗原抗体</w:t>
            </w:r>
            <w:r>
              <w:rPr>
                <w:sz w:val="18"/>
                <w:szCs w:val="18"/>
              </w:rPr>
              <w:t>ELISA</w:t>
            </w:r>
            <w:r>
              <w:rPr>
                <w:rFonts w:hint="eastAsia"/>
                <w:sz w:val="18"/>
                <w:szCs w:val="18"/>
              </w:rPr>
              <w:t>为无反应性而</w:t>
            </w:r>
            <w:r>
              <w:rPr>
                <w:sz w:val="18"/>
                <w:szCs w:val="18"/>
              </w:rPr>
              <w:t xml:space="preserve"> HIV RNA</w:t>
            </w:r>
            <w:r>
              <w:rPr>
                <w:rFonts w:hint="eastAsia"/>
                <w:sz w:val="18"/>
                <w:szCs w:val="18"/>
              </w:rPr>
              <w:t>为反应性的标本，该指标一方面反映了引入</w:t>
            </w:r>
            <w:r>
              <w:rPr>
                <w:sz w:val="18"/>
                <w:szCs w:val="18"/>
              </w:rPr>
              <w:t>NAT</w:t>
            </w:r>
            <w:r>
              <w:rPr>
                <w:rFonts w:hint="eastAsia"/>
                <w:sz w:val="18"/>
                <w:szCs w:val="18"/>
              </w:rPr>
              <w:t>检测后的功效，另一方面该指标的异常升高提示实验室潜在的阳性污染或其他情况。</w:t>
            </w:r>
          </w:p>
        </w:tc>
      </w:tr>
      <w:tr w:rsidR="00B37F7F" w14:paraId="1FD09676" w14:textId="77777777">
        <w:trPr>
          <w:trHeight w:val="462"/>
          <w:jc w:val="center"/>
        </w:trPr>
        <w:tc>
          <w:tcPr>
            <w:tcW w:w="2117" w:type="dxa"/>
          </w:tcPr>
          <w:p w14:paraId="045F19A9" w14:textId="77777777" w:rsidR="00B37F7F" w:rsidRDefault="00000000">
            <w:pPr>
              <w:pStyle w:val="affff1"/>
              <w:spacing w:before="156" w:after="156"/>
              <w:jc w:val="both"/>
              <w:rPr>
                <w:rFonts w:ascii="Times New Roman" w:eastAsia="宋体"/>
                <w:sz w:val="18"/>
                <w:szCs w:val="18"/>
              </w:rPr>
            </w:pPr>
            <w:r>
              <w:rPr>
                <w:rFonts w:ascii="Times New Roman" w:eastAsia="宋体"/>
                <w:sz w:val="18"/>
                <w:szCs w:val="18"/>
              </w:rPr>
              <w:t>HCV RNA</w:t>
            </w:r>
            <w:r>
              <w:rPr>
                <w:rFonts w:ascii="Times New Roman" w:eastAsia="宋体" w:hint="eastAsia"/>
                <w:sz w:val="18"/>
                <w:szCs w:val="18"/>
              </w:rPr>
              <w:t>单反应性率</w:t>
            </w:r>
            <w:r>
              <w:rPr>
                <w:rFonts w:ascii="宋体" w:eastAsia="宋体" w:hAnsi="宋体" w:hint="eastAsia"/>
                <w:sz w:val="18"/>
                <w:szCs w:val="18"/>
              </w:rPr>
              <w:t>（</w:t>
            </w:r>
            <w:r>
              <w:rPr>
                <w:rFonts w:ascii="Times New Roman" w:eastAsia="宋体"/>
                <w:sz w:val="18"/>
                <w:szCs w:val="18"/>
              </w:rPr>
              <w:t>%</w:t>
            </w:r>
            <w:r>
              <w:rPr>
                <w:rFonts w:ascii="宋体" w:eastAsia="宋体" w:hAnsi="宋体" w:hint="eastAsia"/>
                <w:sz w:val="18"/>
                <w:szCs w:val="18"/>
              </w:rPr>
              <w:t>）</w:t>
            </w:r>
          </w:p>
        </w:tc>
        <w:tc>
          <w:tcPr>
            <w:tcW w:w="4536" w:type="dxa"/>
          </w:tcPr>
          <w:p w14:paraId="4F681EA4"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sz w:val="18"/>
                        <w:szCs w:val="18"/>
                      </w:rPr>
                      <m:t>HCV RNA</m:t>
                    </m:r>
                    <m:r>
                      <m:rPr>
                        <m:sty m:val="p"/>
                      </m:rPr>
                      <w:rPr>
                        <w:rFonts w:ascii="Cambria Math" w:hAnsi="Cambria Math" w:hint="eastAsia"/>
                        <w:sz w:val="18"/>
                        <w:szCs w:val="18"/>
                      </w:rPr>
                      <m:t>单反应性标本数</m:t>
                    </m:r>
                  </m:num>
                  <m:den>
                    <m:r>
                      <m:rPr>
                        <m:sty m:val="p"/>
                      </m:rPr>
                      <w:rPr>
                        <w:rFonts w:ascii="Cambria Math" w:hAnsi="Cambria Math" w:cs="Cambria Math"/>
                        <w:sz w:val="18"/>
                        <w:szCs w:val="18"/>
                      </w:rPr>
                      <m:t>NAT</m:t>
                    </m:r>
                    <m:r>
                      <m:rPr>
                        <m:sty m:val="p"/>
                      </m:rPr>
                      <w:rPr>
                        <w:rFonts w:ascii="Cambria Math" w:hAnsi="Cambria Math" w:cs="Cambria Math" w:hint="eastAsia"/>
                        <w:sz w:val="18"/>
                        <w:szCs w:val="18"/>
                      </w:rPr>
                      <m:t>检测标本数</m:t>
                    </m:r>
                  </m:den>
                </m:f>
                <m:r>
                  <m:rPr>
                    <m:sty m:val="p"/>
                  </m:rPr>
                  <w:rPr>
                    <w:rFonts w:ascii="Cambria Math" w:hAnsi="Cambria Math"/>
                    <w:sz w:val="18"/>
                    <w:szCs w:val="18"/>
                  </w:rPr>
                  <m:t>×100%</m:t>
                </m:r>
              </m:oMath>
            </m:oMathPara>
          </w:p>
        </w:tc>
        <w:tc>
          <w:tcPr>
            <w:tcW w:w="2054" w:type="dxa"/>
          </w:tcPr>
          <w:p w14:paraId="686C66E5" w14:textId="77777777" w:rsidR="00B37F7F" w:rsidRDefault="00000000">
            <w:pPr>
              <w:jc w:val="left"/>
              <w:rPr>
                <w:sz w:val="18"/>
                <w:szCs w:val="18"/>
              </w:rPr>
            </w:pPr>
            <w:r>
              <w:rPr>
                <w:rFonts w:hAnsi="Cambria Math" w:hint="eastAsia"/>
                <w:sz w:val="18"/>
                <w:szCs w:val="18"/>
              </w:rPr>
              <w:t>与</w:t>
            </w:r>
            <w:r>
              <w:rPr>
                <w:sz w:val="18"/>
                <w:szCs w:val="18"/>
              </w:rPr>
              <w:t>NAT</w:t>
            </w:r>
            <w:r>
              <w:rPr>
                <w:rFonts w:hAnsi="Cambria Math" w:hint="eastAsia"/>
                <w:sz w:val="18"/>
                <w:szCs w:val="18"/>
              </w:rPr>
              <w:t>检测结果有关，反映</w:t>
            </w:r>
            <w:r>
              <w:rPr>
                <w:sz w:val="18"/>
                <w:szCs w:val="18"/>
              </w:rPr>
              <w:t>HCV</w:t>
            </w:r>
            <w:r>
              <w:rPr>
                <w:rFonts w:hint="eastAsia"/>
                <w:sz w:val="18"/>
                <w:szCs w:val="18"/>
              </w:rPr>
              <w:t xml:space="preserve"> </w:t>
            </w:r>
            <w:r>
              <w:rPr>
                <w:sz w:val="18"/>
                <w:szCs w:val="18"/>
              </w:rPr>
              <w:t>RNA</w:t>
            </w:r>
            <w:r>
              <w:rPr>
                <w:rFonts w:hAnsi="Cambria Math" w:hint="eastAsia"/>
                <w:sz w:val="18"/>
                <w:szCs w:val="18"/>
              </w:rPr>
              <w:t>窗口期的检出情况。</w:t>
            </w:r>
          </w:p>
        </w:tc>
        <w:tc>
          <w:tcPr>
            <w:tcW w:w="4554" w:type="dxa"/>
          </w:tcPr>
          <w:p w14:paraId="21B45FEC" w14:textId="77777777" w:rsidR="00B37F7F" w:rsidRDefault="00000000">
            <w:pPr>
              <w:jc w:val="left"/>
              <w:rPr>
                <w:sz w:val="18"/>
                <w:szCs w:val="18"/>
              </w:rPr>
            </w:pPr>
            <w:r>
              <w:rPr>
                <w:sz w:val="18"/>
                <w:szCs w:val="18"/>
              </w:rPr>
              <w:t>HCV RNA</w:t>
            </w:r>
            <w:r>
              <w:rPr>
                <w:rFonts w:hint="eastAsia"/>
                <w:sz w:val="18"/>
                <w:szCs w:val="18"/>
              </w:rPr>
              <w:t>单反应性标本指</w:t>
            </w:r>
            <w:r>
              <w:rPr>
                <w:sz w:val="18"/>
                <w:szCs w:val="18"/>
              </w:rPr>
              <w:t>HCV</w:t>
            </w:r>
            <w:r>
              <w:rPr>
                <w:rFonts w:hint="eastAsia"/>
                <w:sz w:val="18"/>
                <w:szCs w:val="18"/>
              </w:rPr>
              <w:t>抗体</w:t>
            </w:r>
            <w:r>
              <w:rPr>
                <w:sz w:val="18"/>
                <w:szCs w:val="18"/>
              </w:rPr>
              <w:t>ELISA</w:t>
            </w:r>
            <w:r>
              <w:rPr>
                <w:rFonts w:hint="eastAsia"/>
                <w:sz w:val="18"/>
                <w:szCs w:val="18"/>
              </w:rPr>
              <w:t>为无反应性而</w:t>
            </w:r>
            <w:r>
              <w:rPr>
                <w:sz w:val="18"/>
                <w:szCs w:val="18"/>
              </w:rPr>
              <w:t>HCV RNA</w:t>
            </w:r>
            <w:r>
              <w:rPr>
                <w:rFonts w:hint="eastAsia"/>
                <w:sz w:val="18"/>
                <w:szCs w:val="18"/>
              </w:rPr>
              <w:t>为反应性的标本，该指标一方面反映了引入</w:t>
            </w:r>
            <w:r>
              <w:rPr>
                <w:sz w:val="18"/>
                <w:szCs w:val="18"/>
              </w:rPr>
              <w:t>NAT</w:t>
            </w:r>
            <w:r>
              <w:rPr>
                <w:rFonts w:hint="eastAsia"/>
                <w:sz w:val="18"/>
                <w:szCs w:val="18"/>
              </w:rPr>
              <w:t>检测后的功效，另一方面该指标的异常升高提示实验室潜在的阳性污染或其他情况。</w:t>
            </w:r>
          </w:p>
        </w:tc>
      </w:tr>
      <w:tr w:rsidR="00B37F7F" w14:paraId="6CFCAA43" w14:textId="77777777">
        <w:trPr>
          <w:trHeight w:val="462"/>
          <w:jc w:val="center"/>
        </w:trPr>
        <w:tc>
          <w:tcPr>
            <w:tcW w:w="2117" w:type="dxa"/>
          </w:tcPr>
          <w:p w14:paraId="2028E969" w14:textId="77777777" w:rsidR="00B37F7F" w:rsidRDefault="00000000">
            <w:pPr>
              <w:pStyle w:val="affff1"/>
              <w:spacing w:before="156" w:after="156"/>
              <w:jc w:val="both"/>
              <w:rPr>
                <w:rFonts w:ascii="Times New Roman" w:eastAsia="宋体"/>
                <w:sz w:val="18"/>
                <w:szCs w:val="18"/>
              </w:rPr>
            </w:pPr>
            <w:r>
              <w:rPr>
                <w:rFonts w:ascii="Times New Roman" w:eastAsia="宋体"/>
                <w:kern w:val="2"/>
                <w:sz w:val="18"/>
                <w:szCs w:val="18"/>
              </w:rPr>
              <w:t>NAT</w:t>
            </w:r>
            <w:r>
              <w:rPr>
                <w:rFonts w:ascii="Times New Roman" w:eastAsia="宋体" w:hint="eastAsia"/>
                <w:kern w:val="2"/>
                <w:sz w:val="18"/>
                <w:szCs w:val="18"/>
              </w:rPr>
              <w:t>鉴别反应性率</w:t>
            </w:r>
            <w:r>
              <w:rPr>
                <w:rFonts w:ascii="宋体" w:eastAsia="宋体" w:hAnsi="宋体" w:hint="eastAsia"/>
                <w:sz w:val="18"/>
                <w:szCs w:val="18"/>
              </w:rPr>
              <w:t>（</w:t>
            </w:r>
            <w:r>
              <w:rPr>
                <w:rFonts w:ascii="Times New Roman" w:eastAsia="宋体"/>
                <w:sz w:val="18"/>
                <w:szCs w:val="18"/>
              </w:rPr>
              <w:t>%</w:t>
            </w:r>
            <w:r>
              <w:rPr>
                <w:rFonts w:ascii="宋体" w:eastAsia="宋体" w:hAnsi="宋体" w:hint="eastAsia"/>
                <w:sz w:val="18"/>
                <w:szCs w:val="18"/>
              </w:rPr>
              <w:t>）</w:t>
            </w:r>
          </w:p>
        </w:tc>
        <w:tc>
          <w:tcPr>
            <w:tcW w:w="4536" w:type="dxa"/>
          </w:tcPr>
          <w:p w14:paraId="5C8F31FE" w14:textId="77777777" w:rsidR="00B37F7F" w:rsidRDefault="00000000">
            <w:pPr>
              <w:jc w:val="cente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cs="Cambria Math"/>
                        <w:sz w:val="18"/>
                        <w:szCs w:val="18"/>
                      </w:rPr>
                      <m:t>NAT</m:t>
                    </m:r>
                    <m:r>
                      <m:rPr>
                        <m:sty m:val="p"/>
                      </m:rPr>
                      <w:rPr>
                        <w:rFonts w:ascii="Cambria Math" w:hAnsi="Cambria Math" w:cs="Cambria Math" w:hint="eastAsia"/>
                        <w:sz w:val="18"/>
                        <w:szCs w:val="18"/>
                      </w:rPr>
                      <m:t>鉴别结果为反应性标本数</m:t>
                    </m:r>
                  </m:num>
                  <m:den>
                    <m:r>
                      <m:rPr>
                        <m:sty m:val="p"/>
                      </m:rPr>
                      <w:rPr>
                        <w:rFonts w:ascii="Cambria Math" w:hAnsi="Cambria Math" w:cs="Cambria Math"/>
                        <w:sz w:val="18"/>
                        <w:szCs w:val="18"/>
                      </w:rPr>
                      <m:t>NAT</m:t>
                    </m:r>
                    <m:r>
                      <m:rPr>
                        <m:sty m:val="p"/>
                      </m:rPr>
                      <w:rPr>
                        <w:rFonts w:ascii="Cambria Math" w:hAnsi="Cambria Math" w:cs="Cambria Math" w:hint="eastAsia"/>
                        <w:sz w:val="18"/>
                        <w:szCs w:val="18"/>
                      </w:rPr>
                      <m:t>鉴别标本数</m:t>
                    </m:r>
                  </m:den>
                </m:f>
                <m:r>
                  <m:rPr>
                    <m:sty m:val="p"/>
                  </m:rPr>
                  <w:rPr>
                    <w:rFonts w:ascii="Cambria Math" w:hAnsi="Cambria Math"/>
                    <w:sz w:val="18"/>
                    <w:szCs w:val="18"/>
                  </w:rPr>
                  <m:t>×100%</m:t>
                </m:r>
              </m:oMath>
            </m:oMathPara>
          </w:p>
        </w:tc>
        <w:tc>
          <w:tcPr>
            <w:tcW w:w="2054" w:type="dxa"/>
          </w:tcPr>
          <w:p w14:paraId="7C7DB6BC" w14:textId="77777777" w:rsidR="00B37F7F" w:rsidRDefault="00000000">
            <w:pPr>
              <w:jc w:val="left"/>
              <w:rPr>
                <w:sz w:val="18"/>
                <w:szCs w:val="18"/>
              </w:rPr>
            </w:pPr>
            <w:r>
              <w:rPr>
                <w:rFonts w:hint="eastAsia"/>
                <w:sz w:val="18"/>
                <w:szCs w:val="18"/>
              </w:rPr>
              <w:t>与</w:t>
            </w:r>
            <w:r>
              <w:rPr>
                <w:sz w:val="18"/>
                <w:szCs w:val="18"/>
              </w:rPr>
              <w:t>NAT</w:t>
            </w:r>
            <w:r>
              <w:rPr>
                <w:rFonts w:hint="eastAsia"/>
                <w:sz w:val="18"/>
                <w:szCs w:val="18"/>
              </w:rPr>
              <w:t>检测重复性有关，反映核酸项目检测过程的稳定性。</w:t>
            </w:r>
          </w:p>
        </w:tc>
        <w:tc>
          <w:tcPr>
            <w:tcW w:w="4554" w:type="dxa"/>
          </w:tcPr>
          <w:p w14:paraId="7DD845DA" w14:textId="77777777" w:rsidR="00B37F7F" w:rsidRDefault="00000000">
            <w:pPr>
              <w:jc w:val="left"/>
              <w:rPr>
                <w:sz w:val="18"/>
                <w:szCs w:val="18"/>
              </w:rPr>
            </w:pPr>
            <w:r>
              <w:rPr>
                <w:rFonts w:hint="eastAsia"/>
                <w:sz w:val="18"/>
                <w:szCs w:val="18"/>
              </w:rPr>
              <w:t>该指标反映</w:t>
            </w:r>
            <w:r>
              <w:rPr>
                <w:sz w:val="18"/>
                <w:szCs w:val="18"/>
              </w:rPr>
              <w:t>NAT</w:t>
            </w:r>
            <w:r>
              <w:rPr>
                <w:rFonts w:hint="eastAsia"/>
                <w:sz w:val="18"/>
                <w:szCs w:val="18"/>
              </w:rPr>
              <w:t>鉴别试验的效率。应用同一策略的实验室可就该指标进行实验室间比对。如实验室在不同时期该指标有异常波动，或相同策略实验室间该指标有较大差异，应关注实验室</w:t>
            </w:r>
            <w:r>
              <w:rPr>
                <w:sz w:val="18"/>
                <w:szCs w:val="18"/>
              </w:rPr>
              <w:t>NAT</w:t>
            </w:r>
            <w:r>
              <w:rPr>
                <w:rFonts w:hint="eastAsia"/>
                <w:sz w:val="18"/>
                <w:szCs w:val="18"/>
              </w:rPr>
              <w:t>过程质量控制。该指标属于高优指标，比率越高越好。</w:t>
            </w:r>
          </w:p>
        </w:tc>
      </w:tr>
      <w:tr w:rsidR="00B37F7F" w14:paraId="6A472FA5" w14:textId="77777777">
        <w:trPr>
          <w:trHeight w:val="462"/>
          <w:jc w:val="center"/>
        </w:trPr>
        <w:tc>
          <w:tcPr>
            <w:tcW w:w="2117" w:type="dxa"/>
          </w:tcPr>
          <w:p w14:paraId="341CC619" w14:textId="77777777" w:rsidR="00B37F7F" w:rsidRDefault="00000000">
            <w:pPr>
              <w:rPr>
                <w:sz w:val="18"/>
                <w:szCs w:val="18"/>
              </w:rPr>
            </w:pPr>
            <w:r>
              <w:rPr>
                <w:sz w:val="18"/>
                <w:szCs w:val="18"/>
              </w:rPr>
              <w:lastRenderedPageBreak/>
              <w:t>NAT</w:t>
            </w:r>
            <w:r>
              <w:rPr>
                <w:rFonts w:hint="eastAsia"/>
                <w:sz w:val="18"/>
                <w:szCs w:val="18"/>
              </w:rPr>
              <w:t>拆分反应性率（</w:t>
            </w:r>
            <w:r>
              <w:rPr>
                <w:rFonts w:hint="eastAsia"/>
                <w:sz w:val="18"/>
                <w:szCs w:val="18"/>
              </w:rPr>
              <w:t>%</w:t>
            </w:r>
            <w:r>
              <w:rPr>
                <w:rFonts w:hint="eastAsia"/>
                <w:sz w:val="18"/>
                <w:szCs w:val="18"/>
              </w:rPr>
              <w:t>）</w:t>
            </w:r>
          </w:p>
        </w:tc>
        <w:tc>
          <w:tcPr>
            <w:tcW w:w="4536" w:type="dxa"/>
          </w:tcPr>
          <w:p w14:paraId="4EE88D5D"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cs="Cambria Math"/>
                        <w:sz w:val="18"/>
                        <w:szCs w:val="18"/>
                      </w:rPr>
                      <m:t>NAT</m:t>
                    </m:r>
                    <m:r>
                      <m:rPr>
                        <m:sty m:val="p"/>
                      </m:rPr>
                      <w:rPr>
                        <w:rFonts w:ascii="Cambria Math" w:hAnsi="Cambria Math" w:cs="Cambria Math" w:hint="eastAsia"/>
                        <w:sz w:val="18"/>
                        <w:szCs w:val="18"/>
                      </w:rPr>
                      <m:t>拆分结果为反应性</m:t>
                    </m:r>
                    <m:r>
                      <m:rPr>
                        <m:sty m:val="p"/>
                      </m:rPr>
                      <w:rPr>
                        <w:rFonts w:ascii="Cambria Math" w:hAnsi="Cambria Math" w:cs="Cambria Math"/>
                        <w:sz w:val="18"/>
                        <w:szCs w:val="18"/>
                      </w:rPr>
                      <m:t>pool</m:t>
                    </m:r>
                    <m:r>
                      <m:rPr>
                        <m:sty m:val="p"/>
                      </m:rPr>
                      <w:rPr>
                        <w:rFonts w:ascii="Cambria Math" w:hAnsi="Cambria Math" w:cs="Cambria Math" w:hint="eastAsia"/>
                        <w:sz w:val="18"/>
                        <w:szCs w:val="18"/>
                      </w:rPr>
                      <m:t>数</m:t>
                    </m:r>
                  </m:num>
                  <m:den>
                    <m:r>
                      <m:rPr>
                        <m:sty m:val="p"/>
                      </m:rPr>
                      <w:rPr>
                        <w:rFonts w:ascii="Cambria Math" w:hAnsi="Cambria Math" w:cs="Cambria Math"/>
                        <w:sz w:val="18"/>
                        <w:szCs w:val="18"/>
                      </w:rPr>
                      <m:t>NAT</m:t>
                    </m:r>
                    <m:r>
                      <m:rPr>
                        <m:sty m:val="p"/>
                      </m:rPr>
                      <w:rPr>
                        <w:rFonts w:ascii="Cambria Math" w:hAnsi="Cambria Math" w:cs="Cambria Math" w:hint="eastAsia"/>
                        <w:sz w:val="18"/>
                        <w:szCs w:val="18"/>
                      </w:rPr>
                      <m:t>拆分</m:t>
                    </m:r>
                    <m:r>
                      <m:rPr>
                        <m:sty m:val="p"/>
                      </m:rPr>
                      <w:rPr>
                        <w:rFonts w:ascii="Cambria Math" w:hAnsi="Cambria Math" w:cs="Cambria Math"/>
                        <w:sz w:val="18"/>
                        <w:szCs w:val="18"/>
                      </w:rPr>
                      <m:t>pool</m:t>
                    </m:r>
                    <m:r>
                      <m:rPr>
                        <m:sty m:val="p"/>
                      </m:rPr>
                      <w:rPr>
                        <w:rFonts w:ascii="Cambria Math" w:hAnsi="Cambria Math" w:cs="Cambria Math" w:hint="eastAsia"/>
                        <w:sz w:val="18"/>
                        <w:szCs w:val="18"/>
                      </w:rPr>
                      <m:t>数</m:t>
                    </m:r>
                  </m:den>
                </m:f>
                <m:r>
                  <m:rPr>
                    <m:sty m:val="p"/>
                  </m:rPr>
                  <w:rPr>
                    <w:rFonts w:ascii="Cambria Math" w:hAnsi="Cambria Math"/>
                    <w:sz w:val="18"/>
                    <w:szCs w:val="18"/>
                  </w:rPr>
                  <m:t>×100%</m:t>
                </m:r>
              </m:oMath>
            </m:oMathPara>
          </w:p>
        </w:tc>
        <w:tc>
          <w:tcPr>
            <w:tcW w:w="2054" w:type="dxa"/>
          </w:tcPr>
          <w:p w14:paraId="4A841249" w14:textId="77777777" w:rsidR="00B37F7F" w:rsidRDefault="00000000">
            <w:pPr>
              <w:jc w:val="left"/>
              <w:rPr>
                <w:sz w:val="18"/>
                <w:szCs w:val="18"/>
              </w:rPr>
            </w:pPr>
            <w:r>
              <w:rPr>
                <w:rFonts w:hint="eastAsia"/>
                <w:sz w:val="18"/>
                <w:szCs w:val="18"/>
              </w:rPr>
              <w:t>与</w:t>
            </w:r>
            <w:r>
              <w:rPr>
                <w:sz w:val="18"/>
                <w:szCs w:val="18"/>
              </w:rPr>
              <w:t>NAT</w:t>
            </w:r>
            <w:r>
              <w:rPr>
                <w:rFonts w:hint="eastAsia"/>
                <w:sz w:val="18"/>
                <w:szCs w:val="18"/>
              </w:rPr>
              <w:t>检测重复性有关，反映核酸项目检测过程的稳定性。</w:t>
            </w:r>
          </w:p>
        </w:tc>
        <w:tc>
          <w:tcPr>
            <w:tcW w:w="4554" w:type="dxa"/>
          </w:tcPr>
          <w:p w14:paraId="47BE4AC5" w14:textId="77777777" w:rsidR="00B37F7F" w:rsidRDefault="00000000">
            <w:pPr>
              <w:jc w:val="left"/>
              <w:rPr>
                <w:sz w:val="18"/>
                <w:szCs w:val="18"/>
              </w:rPr>
            </w:pPr>
            <w:r>
              <w:rPr>
                <w:rFonts w:hint="eastAsia"/>
                <w:sz w:val="18"/>
                <w:szCs w:val="18"/>
              </w:rPr>
              <w:t>该指标反映</w:t>
            </w:r>
            <w:r>
              <w:rPr>
                <w:sz w:val="18"/>
                <w:szCs w:val="18"/>
              </w:rPr>
              <w:t>NAT</w:t>
            </w:r>
            <w:r>
              <w:rPr>
                <w:rFonts w:hint="eastAsia"/>
                <w:sz w:val="18"/>
                <w:szCs w:val="18"/>
              </w:rPr>
              <w:t>拆分试验的效率。应用同一策略的实验室可就该指标进行实验室间比对。如实验室在不同时期该指标有异常波动，或相同策略实验室间该指标有较大差异，应关注实验室</w:t>
            </w:r>
            <w:r>
              <w:rPr>
                <w:sz w:val="18"/>
                <w:szCs w:val="18"/>
              </w:rPr>
              <w:t>NAT</w:t>
            </w:r>
            <w:r>
              <w:rPr>
                <w:rFonts w:hint="eastAsia"/>
                <w:sz w:val="18"/>
                <w:szCs w:val="18"/>
              </w:rPr>
              <w:t>过程质量控制。该指标属于高优指标，比率越高越好。</w:t>
            </w:r>
          </w:p>
        </w:tc>
      </w:tr>
      <w:tr w:rsidR="00B37F7F" w14:paraId="6B5FF175" w14:textId="77777777">
        <w:trPr>
          <w:trHeight w:val="462"/>
          <w:jc w:val="center"/>
        </w:trPr>
        <w:tc>
          <w:tcPr>
            <w:tcW w:w="2117" w:type="dxa"/>
          </w:tcPr>
          <w:p w14:paraId="47FBC31A" w14:textId="77777777" w:rsidR="00B37F7F" w:rsidRDefault="00000000">
            <w:pPr>
              <w:rPr>
                <w:sz w:val="18"/>
                <w:szCs w:val="18"/>
              </w:rPr>
            </w:pPr>
            <w:r>
              <w:rPr>
                <w:sz w:val="18"/>
                <w:szCs w:val="18"/>
              </w:rPr>
              <w:t>NAT</w:t>
            </w:r>
            <w:r>
              <w:rPr>
                <w:rFonts w:hint="eastAsia"/>
                <w:sz w:val="18"/>
                <w:szCs w:val="18"/>
              </w:rPr>
              <w:t>无效批次率</w:t>
            </w:r>
            <w:r>
              <w:rPr>
                <w:rFonts w:ascii="宋体" w:hAnsi="宋体" w:hint="eastAsia"/>
                <w:sz w:val="18"/>
                <w:szCs w:val="18"/>
              </w:rPr>
              <w:t>（</w:t>
            </w:r>
            <w:r>
              <w:rPr>
                <w:sz w:val="18"/>
                <w:szCs w:val="18"/>
              </w:rPr>
              <w:t>%</w:t>
            </w:r>
            <w:r>
              <w:rPr>
                <w:rFonts w:ascii="宋体" w:hAnsi="宋体" w:hint="eastAsia"/>
                <w:sz w:val="18"/>
                <w:szCs w:val="18"/>
              </w:rPr>
              <w:t>）</w:t>
            </w:r>
          </w:p>
        </w:tc>
        <w:tc>
          <w:tcPr>
            <w:tcW w:w="4536" w:type="dxa"/>
          </w:tcPr>
          <w:p w14:paraId="2078A772" w14:textId="77777777" w:rsidR="00B37F7F" w:rsidRDefault="00000000">
            <w:pPr>
              <w:jc w:val="cente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cs="Cambria Math"/>
                        <w:sz w:val="18"/>
                        <w:szCs w:val="18"/>
                      </w:rPr>
                      <m:t>NAT</m:t>
                    </m:r>
                    <m:r>
                      <m:rPr>
                        <m:sty m:val="p"/>
                      </m:rPr>
                      <w:rPr>
                        <w:rFonts w:ascii="Cambria Math" w:hAnsi="Cambria Math" w:cs="Cambria Math" w:hint="eastAsia"/>
                        <w:sz w:val="18"/>
                        <w:szCs w:val="18"/>
                      </w:rPr>
                      <m:t>无效</m:t>
                    </m:r>
                    <m:r>
                      <m:rPr>
                        <m:sty m:val="p"/>
                      </m:rPr>
                      <w:rPr>
                        <w:rFonts w:ascii="Cambria Math" w:hAnsi="Cambria Math" w:hint="eastAsia"/>
                        <w:sz w:val="18"/>
                        <w:szCs w:val="18"/>
                      </w:rPr>
                      <m:t>批次</m:t>
                    </m:r>
                    <m:r>
                      <m:rPr>
                        <m:sty m:val="p"/>
                      </m:rPr>
                      <w:rPr>
                        <w:rFonts w:ascii="Cambria Math" w:hAnsi="Cambria Math" w:cs="Cambria Math" w:hint="eastAsia"/>
                        <w:sz w:val="18"/>
                        <w:szCs w:val="18"/>
                      </w:rPr>
                      <m:t>数</m:t>
                    </m:r>
                  </m:num>
                  <m:den>
                    <m:r>
                      <m:rPr>
                        <m:sty m:val="p"/>
                      </m:rPr>
                      <w:rPr>
                        <w:rFonts w:ascii="Cambria Math" w:hAnsi="Cambria Math" w:cs="Cambria Math"/>
                        <w:sz w:val="18"/>
                        <w:szCs w:val="18"/>
                      </w:rPr>
                      <m:t>NAT</m:t>
                    </m:r>
                    <m:r>
                      <m:rPr>
                        <m:sty m:val="p"/>
                      </m:rPr>
                      <w:rPr>
                        <w:rFonts w:ascii="Cambria Math" w:hAnsi="Cambria Math" w:hint="eastAsia"/>
                        <w:sz w:val="18"/>
                        <w:szCs w:val="18"/>
                      </w:rPr>
                      <m:t>批次</m:t>
                    </m:r>
                    <m:r>
                      <m:rPr>
                        <m:sty m:val="p"/>
                      </m:rPr>
                      <w:rPr>
                        <w:rFonts w:ascii="Cambria Math" w:hAnsi="Cambria Math" w:cs="Cambria Math" w:hint="eastAsia"/>
                        <w:sz w:val="18"/>
                        <w:szCs w:val="18"/>
                      </w:rPr>
                      <m:t>总数</m:t>
                    </m:r>
                  </m:den>
                </m:f>
                <m:r>
                  <m:rPr>
                    <m:sty m:val="p"/>
                  </m:rPr>
                  <w:rPr>
                    <w:rFonts w:ascii="Cambria Math" w:hAnsi="Cambria Math"/>
                    <w:sz w:val="18"/>
                    <w:szCs w:val="18"/>
                  </w:rPr>
                  <m:t>×100%</m:t>
                </m:r>
              </m:oMath>
            </m:oMathPara>
          </w:p>
        </w:tc>
        <w:tc>
          <w:tcPr>
            <w:tcW w:w="2054" w:type="dxa"/>
          </w:tcPr>
          <w:p w14:paraId="4FBC8293" w14:textId="77777777" w:rsidR="00B37F7F" w:rsidRDefault="00000000">
            <w:pPr>
              <w:jc w:val="left"/>
              <w:rPr>
                <w:sz w:val="18"/>
                <w:szCs w:val="18"/>
              </w:rPr>
            </w:pPr>
            <w:r>
              <w:rPr>
                <w:rFonts w:hint="eastAsia"/>
                <w:sz w:val="18"/>
                <w:szCs w:val="18"/>
              </w:rPr>
              <w:t>与</w:t>
            </w:r>
            <w:r>
              <w:rPr>
                <w:sz w:val="18"/>
                <w:szCs w:val="18"/>
              </w:rPr>
              <w:t>NAT</w:t>
            </w:r>
            <w:r>
              <w:rPr>
                <w:rFonts w:hint="eastAsia"/>
                <w:sz w:val="18"/>
                <w:szCs w:val="18"/>
              </w:rPr>
              <w:t>检测顺畅性有关，反映核酸项目检测过程的稳定性。</w:t>
            </w:r>
          </w:p>
        </w:tc>
        <w:tc>
          <w:tcPr>
            <w:tcW w:w="4554" w:type="dxa"/>
          </w:tcPr>
          <w:p w14:paraId="0DEA2A28" w14:textId="77777777" w:rsidR="00B37F7F" w:rsidRDefault="00000000">
            <w:pPr>
              <w:jc w:val="left"/>
              <w:rPr>
                <w:sz w:val="18"/>
                <w:szCs w:val="18"/>
              </w:rPr>
            </w:pPr>
            <w:r>
              <w:rPr>
                <w:rFonts w:hint="eastAsia"/>
                <w:sz w:val="18"/>
                <w:szCs w:val="18"/>
              </w:rPr>
              <w:t>无效批次指因试剂、设备、失控、人为等原因导致检测过程终止或（和）整批结果无效，该指标可反映多种因素对核酸检测过程的影响。对于</w:t>
            </w:r>
            <w:r>
              <w:rPr>
                <w:sz w:val="18"/>
                <w:szCs w:val="18"/>
              </w:rPr>
              <w:t>TMA</w:t>
            </w:r>
            <w:r>
              <w:rPr>
                <w:rFonts w:hint="eastAsia"/>
                <w:sz w:val="18"/>
                <w:szCs w:val="18"/>
              </w:rPr>
              <w:t>检测系统一个检测列表为一个批次，对于</w:t>
            </w:r>
            <w:r>
              <w:rPr>
                <w:sz w:val="18"/>
                <w:szCs w:val="18"/>
              </w:rPr>
              <w:t>PCR</w:t>
            </w:r>
            <w:r>
              <w:rPr>
                <w:rFonts w:hint="eastAsia"/>
                <w:sz w:val="18"/>
                <w:szCs w:val="18"/>
              </w:rPr>
              <w:t>检测系统一个</w:t>
            </w:r>
            <w:r>
              <w:rPr>
                <w:sz w:val="18"/>
                <w:szCs w:val="18"/>
              </w:rPr>
              <w:t>batch</w:t>
            </w:r>
            <w:r>
              <w:rPr>
                <w:rFonts w:hint="eastAsia"/>
                <w:sz w:val="18"/>
                <w:szCs w:val="18"/>
              </w:rPr>
              <w:t>或反应板为一个批次。该指标属于低优指标，指标值越低越好。</w:t>
            </w:r>
          </w:p>
        </w:tc>
      </w:tr>
      <w:tr w:rsidR="00B37F7F" w14:paraId="7A2F2FC6" w14:textId="77777777">
        <w:trPr>
          <w:trHeight w:val="462"/>
          <w:jc w:val="center"/>
        </w:trPr>
        <w:tc>
          <w:tcPr>
            <w:tcW w:w="2117" w:type="dxa"/>
          </w:tcPr>
          <w:p w14:paraId="5ABF06CB" w14:textId="77777777" w:rsidR="00B37F7F" w:rsidRDefault="00000000">
            <w:pPr>
              <w:rPr>
                <w:sz w:val="18"/>
                <w:szCs w:val="18"/>
              </w:rPr>
            </w:pPr>
            <w:r>
              <w:rPr>
                <w:sz w:val="18"/>
                <w:szCs w:val="18"/>
              </w:rPr>
              <w:t>NAT</w:t>
            </w:r>
            <w:r>
              <w:rPr>
                <w:rFonts w:hint="eastAsia"/>
                <w:sz w:val="18"/>
                <w:szCs w:val="18"/>
              </w:rPr>
              <w:t>无效结果率（</w:t>
            </w:r>
            <w:r>
              <w:rPr>
                <w:rFonts w:hint="eastAsia"/>
                <w:sz w:val="18"/>
                <w:szCs w:val="18"/>
              </w:rPr>
              <w:t>%</w:t>
            </w:r>
            <w:r>
              <w:rPr>
                <w:rFonts w:hint="eastAsia"/>
                <w:sz w:val="18"/>
                <w:szCs w:val="18"/>
              </w:rPr>
              <w:t>）</w:t>
            </w:r>
          </w:p>
        </w:tc>
        <w:tc>
          <w:tcPr>
            <w:tcW w:w="4536" w:type="dxa"/>
          </w:tcPr>
          <w:p w14:paraId="6D748C29"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cs="Cambria Math"/>
                        <w:sz w:val="18"/>
                        <w:szCs w:val="18"/>
                      </w:rPr>
                      <m:t>NAT</m:t>
                    </m:r>
                    <m:r>
                      <m:rPr>
                        <m:sty m:val="p"/>
                      </m:rPr>
                      <w:rPr>
                        <w:rFonts w:ascii="Cambria Math" w:hAnsi="Cambria Math" w:cs="Cambria Math" w:hint="eastAsia"/>
                        <w:sz w:val="18"/>
                        <w:szCs w:val="18"/>
                      </w:rPr>
                      <m:t>无效结果标本数</m:t>
                    </m:r>
                  </m:num>
                  <m:den>
                    <m:r>
                      <m:rPr>
                        <m:sty m:val="p"/>
                      </m:rPr>
                      <w:rPr>
                        <w:rFonts w:ascii="Cambria Math" w:hAnsi="Cambria Math" w:cs="Cambria Math"/>
                        <w:sz w:val="18"/>
                        <w:szCs w:val="18"/>
                      </w:rPr>
                      <m:t>NAT</m:t>
                    </m:r>
                    <m:r>
                      <m:rPr>
                        <m:sty m:val="p"/>
                      </m:rPr>
                      <w:rPr>
                        <w:rFonts w:ascii="Cambria Math" w:hAnsi="Cambria Math" w:cs="Cambria Math" w:hint="eastAsia"/>
                        <w:sz w:val="18"/>
                        <w:szCs w:val="18"/>
                      </w:rPr>
                      <m:t>检测标本数</m:t>
                    </m:r>
                  </m:den>
                </m:f>
                <m:r>
                  <m:rPr>
                    <m:sty m:val="p"/>
                  </m:rPr>
                  <w:rPr>
                    <w:rFonts w:ascii="Cambria Math" w:hAnsi="Cambria Math"/>
                    <w:sz w:val="18"/>
                    <w:szCs w:val="18"/>
                  </w:rPr>
                  <m:t>×100%</m:t>
                </m:r>
              </m:oMath>
            </m:oMathPara>
          </w:p>
        </w:tc>
        <w:tc>
          <w:tcPr>
            <w:tcW w:w="2054" w:type="dxa"/>
            <w:vAlign w:val="center"/>
          </w:tcPr>
          <w:p w14:paraId="2B31E8BF" w14:textId="77777777" w:rsidR="00B37F7F" w:rsidRDefault="00000000">
            <w:pPr>
              <w:rPr>
                <w:sz w:val="18"/>
                <w:szCs w:val="18"/>
              </w:rPr>
            </w:pPr>
            <w:r>
              <w:rPr>
                <w:rFonts w:hint="eastAsia"/>
                <w:sz w:val="18"/>
                <w:szCs w:val="18"/>
              </w:rPr>
              <w:t>与</w:t>
            </w:r>
            <w:r>
              <w:rPr>
                <w:sz w:val="18"/>
                <w:szCs w:val="18"/>
              </w:rPr>
              <w:t>NAT</w:t>
            </w:r>
            <w:r>
              <w:rPr>
                <w:rFonts w:hint="eastAsia"/>
                <w:sz w:val="18"/>
                <w:szCs w:val="18"/>
              </w:rPr>
              <w:t>检测过程有关，反映检测过程的顺畅性和效率。</w:t>
            </w:r>
          </w:p>
        </w:tc>
        <w:tc>
          <w:tcPr>
            <w:tcW w:w="4554" w:type="dxa"/>
          </w:tcPr>
          <w:p w14:paraId="34BAB7F0" w14:textId="77777777" w:rsidR="00B37F7F" w:rsidRDefault="00000000">
            <w:pPr>
              <w:rPr>
                <w:sz w:val="18"/>
                <w:szCs w:val="18"/>
              </w:rPr>
            </w:pPr>
            <w:r>
              <w:rPr>
                <w:sz w:val="18"/>
                <w:szCs w:val="18"/>
              </w:rPr>
              <w:t>NAT</w:t>
            </w:r>
            <w:r>
              <w:rPr>
                <w:rFonts w:hint="eastAsia"/>
                <w:sz w:val="18"/>
                <w:szCs w:val="18"/>
              </w:rPr>
              <w:t>无效结果数是指有效批次中检测结果为无效的标本数量。该指标属于低优指标，指标值越低越好。</w:t>
            </w:r>
          </w:p>
        </w:tc>
      </w:tr>
    </w:tbl>
    <w:p w14:paraId="7F48CAF8" w14:textId="77777777" w:rsidR="00B37F7F" w:rsidRDefault="00B37F7F">
      <w:pPr>
        <w:pStyle w:val="af4"/>
        <w:numPr>
          <w:ilvl w:val="0"/>
          <w:numId w:val="0"/>
        </w:numPr>
        <w:spacing w:before="156" w:after="156"/>
        <w:jc w:val="both"/>
        <w:rPr>
          <w:rFonts w:ascii="Times New Roman"/>
        </w:rPr>
      </w:pPr>
    </w:p>
    <w:p w14:paraId="269F78AB" w14:textId="77777777" w:rsidR="00B37F7F" w:rsidRDefault="00000000">
      <w:pPr>
        <w:pStyle w:val="af4"/>
        <w:spacing w:before="156" w:after="156"/>
        <w:rPr>
          <w:rFonts w:ascii="Times New Roman"/>
        </w:rPr>
      </w:pPr>
      <w:r>
        <w:rPr>
          <w:rFonts w:ascii="Times New Roman" w:hint="eastAsia"/>
        </w:rPr>
        <w:t>检测后质量监测指标</w:t>
      </w:r>
    </w:p>
    <w:tbl>
      <w:tblPr>
        <w:tblW w:w="1329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117"/>
        <w:gridCol w:w="4536"/>
        <w:gridCol w:w="2126"/>
        <w:gridCol w:w="4516"/>
      </w:tblGrid>
      <w:tr w:rsidR="00B37F7F" w14:paraId="5FB90565" w14:textId="77777777">
        <w:trPr>
          <w:trHeight w:val="562"/>
          <w:jc w:val="center"/>
        </w:trPr>
        <w:tc>
          <w:tcPr>
            <w:tcW w:w="2117" w:type="dxa"/>
          </w:tcPr>
          <w:p w14:paraId="4EE4F33D"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质量监测指标</w:t>
            </w:r>
          </w:p>
        </w:tc>
        <w:tc>
          <w:tcPr>
            <w:tcW w:w="4536" w:type="dxa"/>
          </w:tcPr>
          <w:p w14:paraId="40545110"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计算方法</w:t>
            </w:r>
          </w:p>
        </w:tc>
        <w:tc>
          <w:tcPr>
            <w:tcW w:w="2126" w:type="dxa"/>
          </w:tcPr>
          <w:p w14:paraId="7DB6ADD9"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意义</w:t>
            </w:r>
          </w:p>
        </w:tc>
        <w:tc>
          <w:tcPr>
            <w:tcW w:w="4516" w:type="dxa"/>
          </w:tcPr>
          <w:p w14:paraId="64385245"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解释</w:t>
            </w:r>
          </w:p>
        </w:tc>
      </w:tr>
      <w:tr w:rsidR="00B37F7F" w14:paraId="5D7B34B0" w14:textId="77777777">
        <w:trPr>
          <w:trHeight w:val="815"/>
          <w:jc w:val="center"/>
        </w:trPr>
        <w:tc>
          <w:tcPr>
            <w:tcW w:w="2117" w:type="dxa"/>
          </w:tcPr>
          <w:p w14:paraId="5810D5D9" w14:textId="77777777" w:rsidR="00B37F7F" w:rsidRDefault="00000000">
            <w:pPr>
              <w:rPr>
                <w:sz w:val="18"/>
                <w:szCs w:val="18"/>
              </w:rPr>
            </w:pPr>
            <w:r>
              <w:rPr>
                <w:rFonts w:hint="eastAsia"/>
                <w:sz w:val="18"/>
                <w:szCs w:val="18"/>
              </w:rPr>
              <w:t>（年）检测报告收回次数</w:t>
            </w:r>
          </w:p>
        </w:tc>
        <w:tc>
          <w:tcPr>
            <w:tcW w:w="4536" w:type="dxa"/>
          </w:tcPr>
          <w:p w14:paraId="18E8BDBA" w14:textId="77777777" w:rsidR="00B37F7F" w:rsidRDefault="00000000">
            <w:pPr>
              <w:jc w:val="left"/>
              <w:rPr>
                <w:sz w:val="18"/>
                <w:szCs w:val="18"/>
              </w:rPr>
            </w:pPr>
            <w:r>
              <w:rPr>
                <w:rFonts w:hint="eastAsia"/>
                <w:sz w:val="18"/>
                <w:szCs w:val="18"/>
              </w:rPr>
              <w:t>实验室已签发检测报告收回次数</w:t>
            </w:r>
          </w:p>
        </w:tc>
        <w:tc>
          <w:tcPr>
            <w:tcW w:w="2126" w:type="dxa"/>
          </w:tcPr>
          <w:p w14:paraId="33C33E85" w14:textId="77777777" w:rsidR="00B37F7F" w:rsidRDefault="00000000">
            <w:pPr>
              <w:jc w:val="left"/>
              <w:rPr>
                <w:sz w:val="18"/>
                <w:szCs w:val="18"/>
              </w:rPr>
            </w:pPr>
            <w:r>
              <w:rPr>
                <w:rFonts w:hint="eastAsia"/>
                <w:sz w:val="18"/>
                <w:szCs w:val="18"/>
              </w:rPr>
              <w:t>检测报告签发的正确性。</w:t>
            </w:r>
          </w:p>
        </w:tc>
        <w:tc>
          <w:tcPr>
            <w:tcW w:w="4516" w:type="dxa"/>
          </w:tcPr>
          <w:p w14:paraId="644245C3" w14:textId="77777777" w:rsidR="00B37F7F" w:rsidRDefault="00000000">
            <w:pPr>
              <w:jc w:val="left"/>
              <w:rPr>
                <w:sz w:val="18"/>
                <w:szCs w:val="18"/>
              </w:rPr>
            </w:pPr>
            <w:r>
              <w:rPr>
                <w:rFonts w:hint="eastAsia"/>
                <w:sz w:val="18"/>
                <w:szCs w:val="18"/>
              </w:rPr>
              <w:t>该指标综合反映了实验室检测过程质量控制、检测结果准确性和有效性状态。该指标属于低优指标，指标值越低越好。</w:t>
            </w:r>
          </w:p>
        </w:tc>
      </w:tr>
      <w:tr w:rsidR="00B37F7F" w14:paraId="7783F8B8" w14:textId="77777777">
        <w:trPr>
          <w:trHeight w:val="815"/>
          <w:jc w:val="center"/>
        </w:trPr>
        <w:tc>
          <w:tcPr>
            <w:tcW w:w="2117" w:type="dxa"/>
          </w:tcPr>
          <w:p w14:paraId="5AA11E86" w14:textId="77777777" w:rsidR="00B37F7F" w:rsidRDefault="00000000">
            <w:pPr>
              <w:rPr>
                <w:sz w:val="18"/>
                <w:szCs w:val="18"/>
              </w:rPr>
            </w:pPr>
            <w:r>
              <w:rPr>
                <w:rFonts w:hint="eastAsia"/>
                <w:sz w:val="18"/>
                <w:szCs w:val="18"/>
              </w:rPr>
              <w:t>检测报告延时发放次数</w:t>
            </w:r>
          </w:p>
        </w:tc>
        <w:tc>
          <w:tcPr>
            <w:tcW w:w="4536" w:type="dxa"/>
          </w:tcPr>
          <w:p w14:paraId="721CEBAB" w14:textId="77777777" w:rsidR="00B37F7F" w:rsidRDefault="00000000">
            <w:pPr>
              <w:rPr>
                <w:sz w:val="18"/>
                <w:szCs w:val="18"/>
              </w:rPr>
            </w:pPr>
            <w:r>
              <w:rPr>
                <w:rFonts w:hAnsi="Cambria Math" w:hint="eastAsia"/>
                <w:sz w:val="18"/>
                <w:szCs w:val="18"/>
              </w:rPr>
              <w:t>检测报告未在实验室规定周转时间发放次数</w:t>
            </w:r>
          </w:p>
        </w:tc>
        <w:tc>
          <w:tcPr>
            <w:tcW w:w="2126" w:type="dxa"/>
            <w:vAlign w:val="center"/>
          </w:tcPr>
          <w:p w14:paraId="5A89FC06" w14:textId="77777777" w:rsidR="00B37F7F" w:rsidRDefault="00000000">
            <w:pPr>
              <w:jc w:val="left"/>
              <w:rPr>
                <w:sz w:val="18"/>
                <w:szCs w:val="18"/>
              </w:rPr>
            </w:pPr>
            <w:r>
              <w:rPr>
                <w:rFonts w:hAnsi="Cambria Math" w:hint="eastAsia"/>
                <w:sz w:val="18"/>
                <w:szCs w:val="18"/>
              </w:rPr>
              <w:t>与检测报告签发及时性有关，反映实验室应急处理能力。</w:t>
            </w:r>
          </w:p>
        </w:tc>
        <w:tc>
          <w:tcPr>
            <w:tcW w:w="4516" w:type="dxa"/>
            <w:vAlign w:val="center"/>
          </w:tcPr>
          <w:p w14:paraId="7A966A96" w14:textId="77777777" w:rsidR="00B37F7F" w:rsidRDefault="00000000">
            <w:pPr>
              <w:jc w:val="left"/>
              <w:rPr>
                <w:sz w:val="18"/>
                <w:szCs w:val="18"/>
              </w:rPr>
            </w:pPr>
            <w:r>
              <w:rPr>
                <w:rFonts w:hint="eastAsia"/>
                <w:sz w:val="18"/>
                <w:szCs w:val="18"/>
              </w:rPr>
              <w:t>检测报告延时指检测报告在常规检测报告周期外的时间内完成结果报告。该指标属于低优指标，指标值越低越好。</w:t>
            </w:r>
          </w:p>
        </w:tc>
      </w:tr>
      <w:tr w:rsidR="00B37F7F" w14:paraId="767DC2B1" w14:textId="77777777">
        <w:trPr>
          <w:trHeight w:val="441"/>
          <w:jc w:val="center"/>
        </w:trPr>
        <w:tc>
          <w:tcPr>
            <w:tcW w:w="2117" w:type="dxa"/>
          </w:tcPr>
          <w:p w14:paraId="1CE9B158" w14:textId="77777777" w:rsidR="00B37F7F" w:rsidRDefault="00000000">
            <w:pPr>
              <w:pStyle w:val="affff1"/>
              <w:spacing w:before="156" w:after="156"/>
              <w:jc w:val="both"/>
              <w:rPr>
                <w:rFonts w:ascii="Times New Roman" w:eastAsia="宋体"/>
                <w:sz w:val="18"/>
                <w:szCs w:val="18"/>
              </w:rPr>
            </w:pPr>
            <w:r>
              <w:rPr>
                <w:rFonts w:ascii="Times New Roman" w:eastAsia="宋体" w:hint="eastAsia"/>
                <w:sz w:val="18"/>
                <w:szCs w:val="18"/>
              </w:rPr>
              <w:lastRenderedPageBreak/>
              <w:t>全血标本实验室内周转时间</w:t>
            </w:r>
          </w:p>
        </w:tc>
        <w:tc>
          <w:tcPr>
            <w:tcW w:w="4536" w:type="dxa"/>
          </w:tcPr>
          <w:p w14:paraId="4C45323E" w14:textId="77777777" w:rsidR="00B37F7F" w:rsidRDefault="00000000">
            <w:pPr>
              <w:rPr>
                <w:sz w:val="18"/>
                <w:szCs w:val="18"/>
              </w:rPr>
            </w:pPr>
            <w:r>
              <w:rPr>
                <w:rFonts w:hint="eastAsia"/>
                <w:sz w:val="18"/>
                <w:szCs w:val="18"/>
              </w:rPr>
              <w:t>实验室收到全血标本到报告发送的时间</w:t>
            </w:r>
          </w:p>
        </w:tc>
        <w:tc>
          <w:tcPr>
            <w:tcW w:w="2126" w:type="dxa"/>
          </w:tcPr>
          <w:p w14:paraId="15A553FC" w14:textId="77777777" w:rsidR="00B37F7F" w:rsidRDefault="00000000">
            <w:pPr>
              <w:rPr>
                <w:sz w:val="18"/>
                <w:szCs w:val="18"/>
              </w:rPr>
            </w:pPr>
            <w:r>
              <w:rPr>
                <w:rFonts w:hint="eastAsia"/>
                <w:sz w:val="18"/>
                <w:szCs w:val="18"/>
              </w:rPr>
              <w:t>与标本检测周期有关，反映实验室处理全血标本所需要的时间。</w:t>
            </w:r>
          </w:p>
        </w:tc>
        <w:tc>
          <w:tcPr>
            <w:tcW w:w="4516" w:type="dxa"/>
          </w:tcPr>
          <w:p w14:paraId="0293ADC3" w14:textId="77777777" w:rsidR="00B37F7F" w:rsidRDefault="00000000">
            <w:pPr>
              <w:rPr>
                <w:sz w:val="18"/>
                <w:szCs w:val="18"/>
              </w:rPr>
            </w:pPr>
            <w:r>
              <w:rPr>
                <w:rFonts w:hint="eastAsia"/>
                <w:sz w:val="18"/>
                <w:szCs w:val="18"/>
              </w:rPr>
              <w:t>该指标反映了实验室标本检测的时效性。相对恒定的标本周转时间能够反映实验室检测过程的稳定状态。该指标以天为统计单位，统计方式见下图。</w:t>
            </w:r>
          </w:p>
        </w:tc>
      </w:tr>
      <w:tr w:rsidR="00B37F7F" w14:paraId="294A2585" w14:textId="77777777">
        <w:trPr>
          <w:trHeight w:val="441"/>
          <w:jc w:val="center"/>
        </w:trPr>
        <w:tc>
          <w:tcPr>
            <w:tcW w:w="2117" w:type="dxa"/>
          </w:tcPr>
          <w:p w14:paraId="51A2EAA0" w14:textId="77777777" w:rsidR="00B37F7F" w:rsidRDefault="00000000">
            <w:pPr>
              <w:pStyle w:val="affff1"/>
              <w:spacing w:before="156" w:after="156"/>
              <w:jc w:val="both"/>
              <w:rPr>
                <w:rFonts w:ascii="Times New Roman" w:eastAsia="宋体"/>
                <w:sz w:val="18"/>
                <w:szCs w:val="18"/>
              </w:rPr>
            </w:pPr>
            <w:r>
              <w:rPr>
                <w:rFonts w:ascii="Times New Roman" w:eastAsia="宋体" w:hint="eastAsia"/>
                <w:sz w:val="18"/>
                <w:szCs w:val="18"/>
              </w:rPr>
              <w:t>单采血小板标本实验室内周转时间</w:t>
            </w:r>
          </w:p>
        </w:tc>
        <w:tc>
          <w:tcPr>
            <w:tcW w:w="4536" w:type="dxa"/>
          </w:tcPr>
          <w:p w14:paraId="720FE34C" w14:textId="77777777" w:rsidR="00B37F7F" w:rsidRDefault="00000000">
            <w:pPr>
              <w:rPr>
                <w:sz w:val="18"/>
                <w:szCs w:val="18"/>
              </w:rPr>
            </w:pPr>
            <w:r>
              <w:rPr>
                <w:rFonts w:hAnsi="Calibri" w:hint="eastAsia"/>
                <w:sz w:val="18"/>
                <w:szCs w:val="18"/>
              </w:rPr>
              <w:t>实验室收到单采血小板标本到报告发送的时间</w:t>
            </w:r>
          </w:p>
        </w:tc>
        <w:tc>
          <w:tcPr>
            <w:tcW w:w="2126" w:type="dxa"/>
          </w:tcPr>
          <w:p w14:paraId="668FDF61" w14:textId="77777777" w:rsidR="00B37F7F" w:rsidRDefault="00000000">
            <w:pPr>
              <w:rPr>
                <w:sz w:val="18"/>
                <w:szCs w:val="18"/>
              </w:rPr>
            </w:pPr>
            <w:r>
              <w:rPr>
                <w:rFonts w:hint="eastAsia"/>
                <w:sz w:val="18"/>
                <w:szCs w:val="18"/>
              </w:rPr>
              <w:t>与标本检测周期有关，反映实验室处理单采血小板标本所需要的时间。</w:t>
            </w:r>
          </w:p>
        </w:tc>
        <w:tc>
          <w:tcPr>
            <w:tcW w:w="4516" w:type="dxa"/>
          </w:tcPr>
          <w:p w14:paraId="38798759" w14:textId="77777777" w:rsidR="00B37F7F" w:rsidRDefault="00000000">
            <w:pPr>
              <w:rPr>
                <w:sz w:val="18"/>
                <w:szCs w:val="18"/>
              </w:rPr>
            </w:pPr>
            <w:r>
              <w:rPr>
                <w:rFonts w:hint="eastAsia"/>
                <w:sz w:val="18"/>
                <w:szCs w:val="18"/>
              </w:rPr>
              <w:t>该指标反映了实验室标本检测的时效性。相对恒定的标本周转时间能够反映实验室检测过程的稳定状态。该指标以天为统计单位，统计方式见下图。</w:t>
            </w:r>
          </w:p>
        </w:tc>
      </w:tr>
    </w:tbl>
    <w:p w14:paraId="1C8E1E09" w14:textId="77777777" w:rsidR="00B37F7F" w:rsidRDefault="00000000">
      <w:pPr>
        <w:spacing w:line="360" w:lineRule="auto"/>
        <w:rPr>
          <w:sz w:val="22"/>
        </w:rPr>
      </w:pPr>
      <w:r>
        <w:rPr>
          <w:rFonts w:hint="eastAsia"/>
          <w:sz w:val="22"/>
        </w:rPr>
        <w:t>周转时间：从</w:t>
      </w:r>
      <w:r>
        <w:rPr>
          <w:sz w:val="22"/>
        </w:rPr>
        <w:t>标</w:t>
      </w:r>
      <w:r>
        <w:rPr>
          <w:rFonts w:hint="eastAsia"/>
          <w:sz w:val="22"/>
        </w:rPr>
        <w:t>本采集到报告审核发放的时间。以天为单位划分，如下图所示。</w:t>
      </w:r>
    </w:p>
    <w:p w14:paraId="1322F406" w14:textId="77777777" w:rsidR="00B37F7F" w:rsidRDefault="00000000">
      <w:pPr>
        <w:jc w:val="center"/>
        <w:rPr>
          <w:rFonts w:ascii="MS Mincho" w:eastAsiaTheme="minorEastAsia" w:hAnsi="MS Mincho" w:cs="MS Mincho" w:hint="eastAsia"/>
        </w:rPr>
      </w:pPr>
      <w:r>
        <w:rPr>
          <w:noProof/>
        </w:rPr>
        <mc:AlternateContent>
          <mc:Choice Requires="wpg">
            <w:drawing>
              <wp:inline distT="0" distB="0" distL="0" distR="0" wp14:anchorId="5C3D1B20" wp14:editId="2F469476">
                <wp:extent cx="8359140" cy="844550"/>
                <wp:effectExtent l="0" t="0" r="22860" b="12700"/>
                <wp:docPr id="1996661815" name="组合 16"/>
                <wp:cNvGraphicFramePr/>
                <a:graphic xmlns:a="http://schemas.openxmlformats.org/drawingml/2006/main">
                  <a:graphicData uri="http://schemas.microsoft.com/office/word/2010/wordprocessingGroup">
                    <wpg:wgp>
                      <wpg:cNvGrpSpPr/>
                      <wpg:grpSpPr>
                        <a:xfrm>
                          <a:off x="0" y="0"/>
                          <a:ext cx="8359610" cy="845062"/>
                          <a:chOff x="8538" y="18573"/>
                          <a:chExt cx="66691" cy="13642"/>
                        </a:xfrm>
                      </wpg:grpSpPr>
                      <wps:wsp>
                        <wps:cNvPr id="588153258" name="圆角矩形 9"/>
                        <wps:cNvSpPr>
                          <a:spLocks noChangeArrowheads="1"/>
                        </wps:cNvSpPr>
                        <wps:spPr bwMode="auto">
                          <a:xfrm>
                            <a:off x="8572" y="23574"/>
                            <a:ext cx="20717" cy="2143"/>
                          </a:xfrm>
                          <a:prstGeom prst="roundRect">
                            <a:avLst>
                              <a:gd name="adj" fmla="val 16667"/>
                            </a:avLst>
                          </a:prstGeom>
                          <a:solidFill>
                            <a:srgbClr val="92D050"/>
                          </a:solidFill>
                          <a:ln>
                            <a:noFill/>
                          </a:ln>
                        </wps:spPr>
                        <wps:bodyPr rot="0" vert="horz" wrap="square" lIns="91440" tIns="45720" rIns="91440" bIns="45720" anchor="ctr" anchorCtr="0" upright="1">
                          <a:noAutofit/>
                        </wps:bodyPr>
                      </wps:wsp>
                      <wps:wsp>
                        <wps:cNvPr id="1284051735" name="圆角矩形 10"/>
                        <wps:cNvSpPr>
                          <a:spLocks noChangeArrowheads="1"/>
                        </wps:cNvSpPr>
                        <wps:spPr bwMode="auto">
                          <a:xfrm>
                            <a:off x="31432" y="23574"/>
                            <a:ext cx="20717" cy="2143"/>
                          </a:xfrm>
                          <a:prstGeom prst="roundRect">
                            <a:avLst>
                              <a:gd name="adj" fmla="val 16667"/>
                            </a:avLst>
                          </a:prstGeom>
                          <a:solidFill>
                            <a:srgbClr val="00B0F0"/>
                          </a:solidFill>
                          <a:ln>
                            <a:noFill/>
                          </a:ln>
                        </wps:spPr>
                        <wps:bodyPr rot="0" vert="horz" wrap="square" lIns="91440" tIns="45720" rIns="91440" bIns="45720" anchor="ctr" anchorCtr="0" upright="1">
                          <a:noAutofit/>
                        </wps:bodyPr>
                      </wps:wsp>
                      <wps:wsp>
                        <wps:cNvPr id="1321918623" name="圆角矩形 11"/>
                        <wps:cNvSpPr>
                          <a:spLocks noChangeArrowheads="1"/>
                        </wps:cNvSpPr>
                        <wps:spPr bwMode="auto">
                          <a:xfrm>
                            <a:off x="54292" y="23574"/>
                            <a:ext cx="20717" cy="2143"/>
                          </a:xfrm>
                          <a:prstGeom prst="roundRect">
                            <a:avLst>
                              <a:gd name="adj" fmla="val 16667"/>
                            </a:avLst>
                          </a:prstGeom>
                          <a:solidFill>
                            <a:srgbClr val="FF0000"/>
                          </a:solidFill>
                          <a:ln>
                            <a:noFill/>
                          </a:ln>
                        </wps:spPr>
                        <wps:bodyPr rot="0" vert="horz" wrap="square" lIns="91440" tIns="45720" rIns="91440" bIns="45720" anchor="ctr" anchorCtr="0" upright="1">
                          <a:noAutofit/>
                        </wps:bodyPr>
                      </wps:wsp>
                      <wps:wsp>
                        <wps:cNvPr id="752982399" name="TextBox 6"/>
                        <wps:cNvSpPr txBox="1">
                          <a:spLocks noChangeArrowheads="1"/>
                        </wps:cNvSpPr>
                        <wps:spPr bwMode="auto">
                          <a:xfrm>
                            <a:off x="8538" y="27138"/>
                            <a:ext cx="8011" cy="4755"/>
                          </a:xfrm>
                          <a:prstGeom prst="rect">
                            <a:avLst/>
                          </a:prstGeom>
                          <a:noFill/>
                          <a:ln w="19050">
                            <a:solidFill>
                              <a:srgbClr val="92D050"/>
                            </a:solidFill>
                            <a:miter lim="800000"/>
                          </a:ln>
                        </wps:spPr>
                        <wps:txbx>
                          <w:txbxContent>
                            <w:p w14:paraId="0418BC2B" w14:textId="77777777" w:rsidR="00B37F7F" w:rsidRDefault="00000000">
                              <w:pPr>
                                <w:pStyle w:val="afff0"/>
                                <w:spacing w:before="0" w:beforeAutospacing="0" w:after="0" w:afterAutospacing="0"/>
                                <w:jc w:val="center"/>
                                <w:rPr>
                                  <w:rFonts w:hint="eastAsia"/>
                                  <w:sz w:val="18"/>
                                  <w:szCs w:val="18"/>
                                </w:rPr>
                              </w:pPr>
                              <w:r>
                                <w:rPr>
                                  <w:rFonts w:asciiTheme="minorHAnsi" w:eastAsiaTheme="minorEastAsia" w:cstheme="minorBidi" w:hint="eastAsia"/>
                                  <w:color w:val="000000" w:themeColor="text1"/>
                                  <w:kern w:val="24"/>
                                  <w:sz w:val="18"/>
                                  <w:szCs w:val="18"/>
                                </w:rPr>
                                <w:t>标本</w:t>
                              </w:r>
                              <w:r>
                                <w:rPr>
                                  <w:rFonts w:asciiTheme="minorHAnsi" w:eastAsiaTheme="minorEastAsia" w:cstheme="minorBidi"/>
                                  <w:color w:val="000000" w:themeColor="text1"/>
                                  <w:kern w:val="24"/>
                                  <w:sz w:val="18"/>
                                  <w:szCs w:val="18"/>
                                </w:rPr>
                                <w:t>采集</w:t>
                              </w:r>
                            </w:p>
                          </w:txbxContent>
                        </wps:txbx>
                        <wps:bodyPr rot="0" vert="horz" wrap="square" lIns="91440" tIns="45720" rIns="91440" bIns="45720" anchor="t" anchorCtr="0" upright="1">
                          <a:noAutofit/>
                        </wps:bodyPr>
                      </wps:wsp>
                      <wps:wsp>
                        <wps:cNvPr id="1782436329" name="TextBox 7"/>
                        <wps:cNvSpPr txBox="1">
                          <a:spLocks noChangeArrowheads="1"/>
                        </wps:cNvSpPr>
                        <wps:spPr bwMode="auto">
                          <a:xfrm>
                            <a:off x="18035" y="27141"/>
                            <a:ext cx="10945" cy="5074"/>
                          </a:xfrm>
                          <a:prstGeom prst="rect">
                            <a:avLst/>
                          </a:prstGeom>
                          <a:noFill/>
                          <a:ln w="19050">
                            <a:solidFill>
                              <a:srgbClr val="92D050"/>
                            </a:solidFill>
                            <a:miter lim="800000"/>
                          </a:ln>
                        </wps:spPr>
                        <wps:txbx>
                          <w:txbxContent>
                            <w:p w14:paraId="06F9DAEA" w14:textId="77777777" w:rsidR="00B37F7F" w:rsidRDefault="00000000">
                              <w:pPr>
                                <w:pStyle w:val="afff0"/>
                                <w:spacing w:before="0" w:beforeAutospacing="0" w:after="0" w:afterAutospacing="0"/>
                                <w:jc w:val="center"/>
                                <w:rPr>
                                  <w:rFonts w:hint="eastAsia"/>
                                  <w:sz w:val="18"/>
                                  <w:szCs w:val="18"/>
                                </w:rPr>
                              </w:pPr>
                              <w:r>
                                <w:rPr>
                                  <w:rFonts w:asciiTheme="minorHAnsi" w:eastAsiaTheme="minorEastAsia" w:cstheme="minorBidi" w:hint="eastAsia"/>
                                  <w:color w:val="000000" w:themeColor="text1"/>
                                  <w:kern w:val="24"/>
                                  <w:sz w:val="18"/>
                                  <w:szCs w:val="18"/>
                                </w:rPr>
                                <w:t>当天</w:t>
                              </w:r>
                              <w:r>
                                <w:rPr>
                                  <w:rFonts w:asciiTheme="minorHAnsi" w:eastAsiaTheme="minorEastAsia" w:hAnsi="Calibri" w:cstheme="minorBidi"/>
                                  <w:color w:val="000000" w:themeColor="text1"/>
                                  <w:kern w:val="24"/>
                                  <w:sz w:val="18"/>
                                  <w:szCs w:val="18"/>
                                </w:rPr>
                                <w:t>23</w:t>
                              </w:r>
                              <w:r>
                                <w:rPr>
                                  <w:rFonts w:asciiTheme="minorHAnsi" w:eastAsiaTheme="minorEastAsia" w:cstheme="minorBidi" w:hint="eastAsia"/>
                                  <w:color w:val="000000" w:themeColor="text1"/>
                                  <w:kern w:val="24"/>
                                  <w:sz w:val="18"/>
                                  <w:szCs w:val="18"/>
                                </w:rPr>
                                <w:t>时</w:t>
                              </w:r>
                              <w:r>
                                <w:rPr>
                                  <w:rFonts w:asciiTheme="minorHAnsi" w:eastAsiaTheme="minorEastAsia" w:hAnsi="Calibri" w:cstheme="minorBidi"/>
                                  <w:color w:val="000000" w:themeColor="text1"/>
                                  <w:kern w:val="24"/>
                                  <w:sz w:val="18"/>
                                  <w:szCs w:val="18"/>
                                </w:rPr>
                                <w:t>59</w:t>
                              </w:r>
                              <w:r>
                                <w:rPr>
                                  <w:rFonts w:asciiTheme="minorHAnsi" w:eastAsiaTheme="minorEastAsia" w:cstheme="minorBidi" w:hint="eastAsia"/>
                                  <w:color w:val="000000" w:themeColor="text1"/>
                                  <w:kern w:val="24"/>
                                  <w:sz w:val="18"/>
                                  <w:szCs w:val="18"/>
                                </w:rPr>
                                <w:t>分</w:t>
                              </w:r>
                              <w:r>
                                <w:rPr>
                                  <w:rFonts w:asciiTheme="minorHAnsi" w:eastAsiaTheme="minorEastAsia" w:cstheme="minorBidi" w:hint="eastAsia"/>
                                  <w:color w:val="000000" w:themeColor="text1"/>
                                  <w:kern w:val="24"/>
                                  <w:sz w:val="18"/>
                                  <w:szCs w:val="18"/>
                                </w:rPr>
                                <w:t>59</w:t>
                              </w:r>
                              <w:r>
                                <w:rPr>
                                  <w:rFonts w:asciiTheme="minorHAnsi" w:eastAsiaTheme="minorEastAsia" w:cstheme="minorBidi" w:hint="eastAsia"/>
                                  <w:color w:val="000000" w:themeColor="text1"/>
                                  <w:kern w:val="24"/>
                                  <w:sz w:val="18"/>
                                  <w:szCs w:val="18"/>
                                </w:rPr>
                                <w:t>秒</w:t>
                              </w:r>
                            </w:p>
                          </w:txbxContent>
                        </wps:txbx>
                        <wps:bodyPr rot="0" vert="horz" wrap="square" lIns="91440" tIns="45720" rIns="91440" bIns="45720" anchor="t" anchorCtr="0" upright="1">
                          <a:noAutofit/>
                        </wps:bodyPr>
                      </wps:wsp>
                      <wps:wsp>
                        <wps:cNvPr id="32127316" name="TextBox 8"/>
                        <wps:cNvSpPr txBox="1">
                          <a:spLocks noChangeArrowheads="1"/>
                        </wps:cNvSpPr>
                        <wps:spPr bwMode="auto">
                          <a:xfrm>
                            <a:off x="17144" y="18573"/>
                            <a:ext cx="5530" cy="3980"/>
                          </a:xfrm>
                          <a:prstGeom prst="rect">
                            <a:avLst/>
                          </a:prstGeom>
                          <a:noFill/>
                          <a:ln>
                            <a:noFill/>
                          </a:ln>
                        </wps:spPr>
                        <wps:txbx>
                          <w:txbxContent>
                            <w:p w14:paraId="2687DD8D" w14:textId="77777777" w:rsidR="00B37F7F" w:rsidRDefault="00000000">
                              <w:pPr>
                                <w:pStyle w:val="afff0"/>
                                <w:spacing w:before="0" w:beforeAutospacing="0" w:after="0" w:afterAutospacing="0"/>
                                <w:ind w:firstLine="360"/>
                                <w:rPr>
                                  <w:rFonts w:hint="eastAsia"/>
                                  <w:sz w:val="18"/>
                                  <w:szCs w:val="18"/>
                                </w:rPr>
                              </w:pPr>
                              <w:r>
                                <w:rPr>
                                  <w:rFonts w:asciiTheme="minorHAnsi" w:eastAsiaTheme="minorEastAsia" w:hAnsi="Calibri" w:cstheme="minorBidi"/>
                                  <w:color w:val="000000" w:themeColor="text1"/>
                                  <w:kern w:val="24"/>
                                  <w:sz w:val="18"/>
                                  <w:szCs w:val="18"/>
                                </w:rPr>
                                <w:t>0</w:t>
                              </w:r>
                              <w:r>
                                <w:rPr>
                                  <w:rFonts w:asciiTheme="minorHAnsi" w:eastAsiaTheme="minorEastAsia" w:cstheme="minorBidi" w:hint="eastAsia"/>
                                  <w:color w:val="000000" w:themeColor="text1"/>
                                  <w:kern w:val="24"/>
                                  <w:sz w:val="18"/>
                                  <w:szCs w:val="18"/>
                                </w:rPr>
                                <w:t>天</w:t>
                              </w:r>
                            </w:p>
                          </w:txbxContent>
                        </wps:txbx>
                        <wps:bodyPr rot="0" vert="horz" wrap="square" lIns="91440" tIns="45720" rIns="91440" bIns="45720" anchor="t" anchorCtr="0" upright="1">
                          <a:noAutofit/>
                        </wps:bodyPr>
                      </wps:wsp>
                      <wps:wsp>
                        <wps:cNvPr id="838128577" name="TextBox 9"/>
                        <wps:cNvSpPr txBox="1">
                          <a:spLocks noChangeArrowheads="1"/>
                        </wps:cNvSpPr>
                        <wps:spPr bwMode="auto">
                          <a:xfrm>
                            <a:off x="39680" y="18573"/>
                            <a:ext cx="5530" cy="3980"/>
                          </a:xfrm>
                          <a:prstGeom prst="rect">
                            <a:avLst/>
                          </a:prstGeom>
                          <a:noFill/>
                          <a:ln>
                            <a:noFill/>
                          </a:ln>
                        </wps:spPr>
                        <wps:txbx>
                          <w:txbxContent>
                            <w:p w14:paraId="7145C517" w14:textId="77777777" w:rsidR="00B37F7F" w:rsidRDefault="00000000">
                              <w:pPr>
                                <w:pStyle w:val="afff0"/>
                                <w:spacing w:before="0" w:beforeAutospacing="0" w:after="0" w:afterAutospacing="0"/>
                                <w:ind w:firstLine="360"/>
                                <w:rPr>
                                  <w:rFonts w:hint="eastAsia"/>
                                  <w:sz w:val="18"/>
                                  <w:szCs w:val="18"/>
                                </w:rPr>
                              </w:pPr>
                              <w:r>
                                <w:rPr>
                                  <w:rFonts w:asciiTheme="minorHAnsi" w:eastAsiaTheme="minorEastAsia" w:hAnsi="Calibri" w:cstheme="minorBidi"/>
                                  <w:color w:val="000000" w:themeColor="text1"/>
                                  <w:kern w:val="24"/>
                                  <w:sz w:val="18"/>
                                  <w:szCs w:val="18"/>
                                </w:rPr>
                                <w:t>1</w:t>
                              </w:r>
                              <w:r>
                                <w:rPr>
                                  <w:rFonts w:asciiTheme="minorHAnsi" w:eastAsiaTheme="minorEastAsia" w:cstheme="minorBidi" w:hint="eastAsia"/>
                                  <w:color w:val="000000" w:themeColor="text1"/>
                                  <w:kern w:val="24"/>
                                  <w:sz w:val="18"/>
                                  <w:szCs w:val="18"/>
                                </w:rPr>
                                <w:t>天</w:t>
                              </w:r>
                            </w:p>
                          </w:txbxContent>
                        </wps:txbx>
                        <wps:bodyPr rot="0" vert="horz" wrap="square" lIns="91440" tIns="45720" rIns="91440" bIns="45720" anchor="t" anchorCtr="0" upright="1">
                          <a:noAutofit/>
                        </wps:bodyPr>
                      </wps:wsp>
                      <wps:wsp>
                        <wps:cNvPr id="748542403" name="TextBox 10"/>
                        <wps:cNvSpPr txBox="1">
                          <a:spLocks noChangeArrowheads="1"/>
                        </wps:cNvSpPr>
                        <wps:spPr bwMode="auto">
                          <a:xfrm>
                            <a:off x="62144" y="18573"/>
                            <a:ext cx="5530" cy="3980"/>
                          </a:xfrm>
                          <a:prstGeom prst="rect">
                            <a:avLst/>
                          </a:prstGeom>
                          <a:noFill/>
                          <a:ln>
                            <a:noFill/>
                          </a:ln>
                        </wps:spPr>
                        <wps:txbx>
                          <w:txbxContent>
                            <w:p w14:paraId="49FC07D7" w14:textId="77777777" w:rsidR="00B37F7F" w:rsidRDefault="00000000">
                              <w:pPr>
                                <w:pStyle w:val="afff0"/>
                                <w:spacing w:before="0" w:beforeAutospacing="0" w:after="0" w:afterAutospacing="0"/>
                                <w:ind w:firstLine="360"/>
                                <w:rPr>
                                  <w:rFonts w:hint="eastAsia"/>
                                  <w:sz w:val="18"/>
                                  <w:szCs w:val="18"/>
                                </w:rPr>
                              </w:pPr>
                              <w:r>
                                <w:rPr>
                                  <w:rFonts w:asciiTheme="minorHAnsi" w:eastAsiaTheme="minorEastAsia" w:hAnsi="Calibri" w:cstheme="minorBidi"/>
                                  <w:color w:val="000000" w:themeColor="text1"/>
                                  <w:kern w:val="24"/>
                                  <w:sz w:val="18"/>
                                  <w:szCs w:val="18"/>
                                </w:rPr>
                                <w:t>2</w:t>
                              </w:r>
                              <w:r>
                                <w:rPr>
                                  <w:rFonts w:asciiTheme="minorHAnsi" w:eastAsiaTheme="minorEastAsia" w:cstheme="minorBidi" w:hint="eastAsia"/>
                                  <w:color w:val="000000" w:themeColor="text1"/>
                                  <w:kern w:val="24"/>
                                  <w:sz w:val="18"/>
                                  <w:szCs w:val="18"/>
                                </w:rPr>
                                <w:t>天</w:t>
                              </w:r>
                            </w:p>
                          </w:txbxContent>
                        </wps:txbx>
                        <wps:bodyPr rot="0" vert="horz" wrap="square" lIns="91440" tIns="45720" rIns="91440" bIns="45720" anchor="t" anchorCtr="0" upright="1">
                          <a:noAutofit/>
                        </wps:bodyPr>
                      </wps:wsp>
                      <wps:wsp>
                        <wps:cNvPr id="37798279" name="TextBox 11"/>
                        <wps:cNvSpPr txBox="1">
                          <a:spLocks noChangeArrowheads="1"/>
                        </wps:cNvSpPr>
                        <wps:spPr bwMode="auto">
                          <a:xfrm>
                            <a:off x="31392" y="27133"/>
                            <a:ext cx="7588" cy="4863"/>
                          </a:xfrm>
                          <a:prstGeom prst="rect">
                            <a:avLst/>
                          </a:prstGeom>
                          <a:noFill/>
                          <a:ln w="19050">
                            <a:solidFill>
                              <a:srgbClr val="00B0F0"/>
                            </a:solidFill>
                            <a:miter lim="800000"/>
                          </a:ln>
                        </wps:spPr>
                        <wps:txbx>
                          <w:txbxContent>
                            <w:p w14:paraId="0C14623C" w14:textId="77777777" w:rsidR="00B37F7F" w:rsidRDefault="00000000">
                              <w:pPr>
                                <w:pStyle w:val="afff0"/>
                                <w:spacing w:before="0" w:beforeAutospacing="0" w:after="0" w:afterAutospacing="0"/>
                                <w:jc w:val="center"/>
                                <w:rPr>
                                  <w:rFonts w:asciiTheme="minorEastAsia" w:eastAsiaTheme="minorEastAsia" w:hAnsiTheme="minorEastAsia" w:hint="eastAsia"/>
                                  <w:sz w:val="18"/>
                                  <w:szCs w:val="18"/>
                                </w:rPr>
                              </w:pPr>
                              <w:r>
                                <w:rPr>
                                  <w:rFonts w:asciiTheme="minorEastAsia" w:eastAsiaTheme="minorEastAsia" w:hAnsiTheme="minorEastAsia" w:cstheme="minorBidi" w:hint="eastAsia"/>
                                  <w:color w:val="000000" w:themeColor="text1"/>
                                  <w:kern w:val="24"/>
                                  <w:sz w:val="18"/>
                                  <w:szCs w:val="18"/>
                                </w:rPr>
                                <w:t>当天</w:t>
                              </w:r>
                              <w:r>
                                <w:rPr>
                                  <w:rFonts w:asciiTheme="minorEastAsia" w:eastAsiaTheme="minorEastAsia" w:hAnsiTheme="minorEastAsia" w:cstheme="minorBidi"/>
                                  <w:color w:val="000000" w:themeColor="text1"/>
                                  <w:kern w:val="24"/>
                                  <w:sz w:val="18"/>
                                  <w:szCs w:val="18"/>
                                </w:rPr>
                                <w:t>0</w:t>
                              </w:r>
                              <w:r>
                                <w:rPr>
                                  <w:rFonts w:asciiTheme="minorEastAsia" w:eastAsiaTheme="minorEastAsia" w:hAnsiTheme="minorEastAsia" w:cstheme="minorBidi" w:hint="eastAsia"/>
                                  <w:color w:val="000000" w:themeColor="text1"/>
                                  <w:kern w:val="24"/>
                                  <w:sz w:val="18"/>
                                  <w:szCs w:val="18"/>
                                </w:rPr>
                                <w:t>点</w:t>
                              </w:r>
                            </w:p>
                          </w:txbxContent>
                        </wps:txbx>
                        <wps:bodyPr rot="0" vert="horz" wrap="square" lIns="91440" tIns="45720" rIns="91440" bIns="45720" anchor="t" anchorCtr="0" upright="1">
                          <a:noAutofit/>
                        </wps:bodyPr>
                      </wps:wsp>
                      <wps:wsp>
                        <wps:cNvPr id="869247940" name="TextBox 13"/>
                        <wps:cNvSpPr txBox="1">
                          <a:spLocks noChangeArrowheads="1"/>
                        </wps:cNvSpPr>
                        <wps:spPr bwMode="auto">
                          <a:xfrm>
                            <a:off x="41174" y="27137"/>
                            <a:ext cx="10731" cy="4750"/>
                          </a:xfrm>
                          <a:prstGeom prst="rect">
                            <a:avLst/>
                          </a:prstGeom>
                          <a:noFill/>
                          <a:ln w="19050">
                            <a:solidFill>
                              <a:srgbClr val="00B0F0"/>
                            </a:solidFill>
                            <a:miter lim="800000"/>
                          </a:ln>
                        </wps:spPr>
                        <wps:txbx>
                          <w:txbxContent>
                            <w:p w14:paraId="539ECB50" w14:textId="77777777" w:rsidR="00B37F7F" w:rsidRDefault="00000000">
                              <w:pPr>
                                <w:pStyle w:val="afff0"/>
                                <w:spacing w:before="0" w:beforeAutospacing="0" w:after="0" w:afterAutospacing="0"/>
                                <w:jc w:val="center"/>
                                <w:rPr>
                                  <w:rFonts w:asciiTheme="minorEastAsia" w:eastAsiaTheme="minorEastAsia" w:hAnsiTheme="minorEastAsia" w:hint="eastAsia"/>
                                  <w:sz w:val="18"/>
                                  <w:szCs w:val="18"/>
                                </w:rPr>
                              </w:pPr>
                              <w:r>
                                <w:rPr>
                                  <w:rFonts w:asciiTheme="minorEastAsia" w:eastAsiaTheme="minorEastAsia" w:hAnsiTheme="minorEastAsia" w:cstheme="minorBidi" w:hint="eastAsia"/>
                                  <w:color w:val="000000" w:themeColor="text1"/>
                                  <w:kern w:val="24"/>
                                  <w:sz w:val="18"/>
                                  <w:szCs w:val="18"/>
                                </w:rPr>
                                <w:t>当天</w:t>
                              </w:r>
                              <w:r>
                                <w:rPr>
                                  <w:rFonts w:asciiTheme="minorEastAsia" w:eastAsiaTheme="minorEastAsia" w:hAnsiTheme="minorEastAsia" w:cstheme="minorBidi"/>
                                  <w:color w:val="000000" w:themeColor="text1"/>
                                  <w:kern w:val="24"/>
                                  <w:sz w:val="18"/>
                                  <w:szCs w:val="18"/>
                                </w:rPr>
                                <w:t>23</w:t>
                              </w:r>
                              <w:r>
                                <w:rPr>
                                  <w:rFonts w:asciiTheme="minorEastAsia" w:eastAsiaTheme="minorEastAsia" w:hAnsiTheme="minorEastAsia" w:cstheme="minorBidi" w:hint="eastAsia"/>
                                  <w:color w:val="000000" w:themeColor="text1"/>
                                  <w:kern w:val="24"/>
                                  <w:sz w:val="18"/>
                                  <w:szCs w:val="18"/>
                                </w:rPr>
                                <w:t>时</w:t>
                              </w:r>
                              <w:r>
                                <w:rPr>
                                  <w:rFonts w:asciiTheme="minorEastAsia" w:eastAsiaTheme="minorEastAsia" w:hAnsiTheme="minorEastAsia" w:cstheme="minorBidi"/>
                                  <w:color w:val="000000" w:themeColor="text1"/>
                                  <w:kern w:val="24"/>
                                  <w:sz w:val="18"/>
                                  <w:szCs w:val="18"/>
                                </w:rPr>
                                <w:t>59</w:t>
                              </w:r>
                              <w:r>
                                <w:rPr>
                                  <w:rFonts w:asciiTheme="minorEastAsia" w:eastAsiaTheme="minorEastAsia" w:hAnsiTheme="minorEastAsia" w:cstheme="minorBidi" w:hint="eastAsia"/>
                                  <w:color w:val="000000" w:themeColor="text1"/>
                                  <w:kern w:val="24"/>
                                  <w:sz w:val="18"/>
                                  <w:szCs w:val="18"/>
                                </w:rPr>
                                <w:t>分59秒</w:t>
                              </w:r>
                            </w:p>
                          </w:txbxContent>
                        </wps:txbx>
                        <wps:bodyPr rot="0" vert="horz" wrap="square" lIns="91440" tIns="45720" rIns="91440" bIns="45720" anchor="t" anchorCtr="0" upright="1">
                          <a:noAutofit/>
                        </wps:bodyPr>
                      </wps:wsp>
                      <wps:wsp>
                        <wps:cNvPr id="802040750" name="TextBox 14"/>
                        <wps:cNvSpPr txBox="1">
                          <a:spLocks noChangeArrowheads="1"/>
                        </wps:cNvSpPr>
                        <wps:spPr bwMode="auto">
                          <a:xfrm>
                            <a:off x="54716" y="27133"/>
                            <a:ext cx="7170" cy="4853"/>
                          </a:xfrm>
                          <a:prstGeom prst="rect">
                            <a:avLst/>
                          </a:prstGeom>
                          <a:noFill/>
                          <a:ln w="19050">
                            <a:solidFill>
                              <a:srgbClr val="FF0000"/>
                            </a:solidFill>
                            <a:miter lim="800000"/>
                          </a:ln>
                        </wps:spPr>
                        <wps:txbx>
                          <w:txbxContent>
                            <w:p w14:paraId="7C0CAA82" w14:textId="77777777" w:rsidR="00B37F7F" w:rsidRDefault="00000000">
                              <w:pPr>
                                <w:pStyle w:val="afff0"/>
                                <w:spacing w:before="0" w:beforeAutospacing="0" w:after="0" w:afterAutospacing="0"/>
                                <w:jc w:val="center"/>
                                <w:rPr>
                                  <w:rFonts w:asciiTheme="minorEastAsia" w:eastAsiaTheme="minorEastAsia" w:hAnsiTheme="minorEastAsia" w:hint="eastAsia"/>
                                  <w:sz w:val="18"/>
                                  <w:szCs w:val="18"/>
                                </w:rPr>
                              </w:pPr>
                              <w:r>
                                <w:rPr>
                                  <w:rFonts w:asciiTheme="minorEastAsia" w:eastAsiaTheme="minorEastAsia" w:hAnsiTheme="minorEastAsia" w:cstheme="minorBidi" w:hint="eastAsia"/>
                                  <w:color w:val="000000" w:themeColor="text1"/>
                                  <w:kern w:val="24"/>
                                  <w:sz w:val="18"/>
                                  <w:szCs w:val="18"/>
                                </w:rPr>
                                <w:t>当天</w:t>
                              </w:r>
                              <w:r>
                                <w:rPr>
                                  <w:rFonts w:asciiTheme="minorEastAsia" w:eastAsiaTheme="minorEastAsia" w:hAnsiTheme="minorEastAsia" w:cstheme="minorBidi"/>
                                  <w:color w:val="000000" w:themeColor="text1"/>
                                  <w:kern w:val="24"/>
                                  <w:sz w:val="18"/>
                                  <w:szCs w:val="18"/>
                                </w:rPr>
                                <w:t>0</w:t>
                              </w:r>
                              <w:r>
                                <w:rPr>
                                  <w:rFonts w:asciiTheme="minorEastAsia" w:eastAsiaTheme="minorEastAsia" w:hAnsiTheme="minorEastAsia" w:cstheme="minorBidi" w:hint="eastAsia"/>
                                  <w:color w:val="000000" w:themeColor="text1"/>
                                  <w:kern w:val="24"/>
                                  <w:sz w:val="18"/>
                                  <w:szCs w:val="18"/>
                                </w:rPr>
                                <w:t>点</w:t>
                              </w:r>
                            </w:p>
                          </w:txbxContent>
                        </wps:txbx>
                        <wps:bodyPr rot="0" vert="horz" wrap="square" lIns="91440" tIns="45720" rIns="91440" bIns="45720" anchor="t" anchorCtr="0" upright="1">
                          <a:noAutofit/>
                        </wps:bodyPr>
                      </wps:wsp>
                      <wps:wsp>
                        <wps:cNvPr id="1894375422" name="TextBox 15"/>
                        <wps:cNvSpPr txBox="1">
                          <a:spLocks noChangeArrowheads="1"/>
                        </wps:cNvSpPr>
                        <wps:spPr bwMode="auto">
                          <a:xfrm>
                            <a:off x="64671" y="27139"/>
                            <a:ext cx="10558" cy="4751"/>
                          </a:xfrm>
                          <a:prstGeom prst="rect">
                            <a:avLst/>
                          </a:prstGeom>
                          <a:noFill/>
                          <a:ln w="19050">
                            <a:solidFill>
                              <a:srgbClr val="FF0000"/>
                            </a:solidFill>
                            <a:miter lim="800000"/>
                          </a:ln>
                        </wps:spPr>
                        <wps:txbx>
                          <w:txbxContent>
                            <w:p w14:paraId="5D465AA4" w14:textId="77777777" w:rsidR="00B37F7F" w:rsidRDefault="00000000">
                              <w:pPr>
                                <w:pStyle w:val="afff0"/>
                                <w:spacing w:before="0" w:beforeAutospacing="0" w:after="0" w:afterAutospacing="0"/>
                                <w:jc w:val="center"/>
                                <w:rPr>
                                  <w:rFonts w:asciiTheme="minorEastAsia" w:eastAsiaTheme="minorEastAsia" w:hAnsiTheme="minorEastAsia" w:hint="eastAsia"/>
                                  <w:sz w:val="18"/>
                                  <w:szCs w:val="18"/>
                                </w:rPr>
                              </w:pPr>
                              <w:r>
                                <w:rPr>
                                  <w:rFonts w:asciiTheme="minorEastAsia" w:eastAsiaTheme="minorEastAsia" w:hAnsiTheme="minorEastAsia" w:cstheme="minorBidi" w:hint="eastAsia"/>
                                  <w:color w:val="000000" w:themeColor="text1"/>
                                  <w:kern w:val="24"/>
                                  <w:sz w:val="18"/>
                                  <w:szCs w:val="18"/>
                                </w:rPr>
                                <w:t>当天</w:t>
                              </w:r>
                              <w:r>
                                <w:rPr>
                                  <w:rFonts w:asciiTheme="minorEastAsia" w:eastAsiaTheme="minorEastAsia" w:hAnsiTheme="minorEastAsia" w:cstheme="minorBidi"/>
                                  <w:color w:val="000000" w:themeColor="text1"/>
                                  <w:kern w:val="24"/>
                                  <w:sz w:val="18"/>
                                  <w:szCs w:val="18"/>
                                </w:rPr>
                                <w:t>23</w:t>
                              </w:r>
                              <w:r>
                                <w:rPr>
                                  <w:rFonts w:asciiTheme="minorEastAsia" w:eastAsiaTheme="minorEastAsia" w:hAnsiTheme="minorEastAsia" w:cstheme="minorBidi" w:hint="eastAsia"/>
                                  <w:color w:val="000000" w:themeColor="text1"/>
                                  <w:kern w:val="24"/>
                                  <w:sz w:val="18"/>
                                  <w:szCs w:val="18"/>
                                </w:rPr>
                                <w:t>时</w:t>
                              </w:r>
                              <w:r>
                                <w:rPr>
                                  <w:rFonts w:asciiTheme="minorEastAsia" w:eastAsiaTheme="minorEastAsia" w:hAnsiTheme="minorEastAsia" w:cstheme="minorBidi"/>
                                  <w:color w:val="000000" w:themeColor="text1"/>
                                  <w:kern w:val="24"/>
                                  <w:sz w:val="18"/>
                                  <w:szCs w:val="18"/>
                                </w:rPr>
                                <w:t>59</w:t>
                              </w:r>
                              <w:r>
                                <w:rPr>
                                  <w:rFonts w:asciiTheme="minorEastAsia" w:eastAsiaTheme="minorEastAsia" w:hAnsiTheme="minorEastAsia" w:cstheme="minorBidi" w:hint="eastAsia"/>
                                  <w:color w:val="000000" w:themeColor="text1"/>
                                  <w:kern w:val="24"/>
                                  <w:sz w:val="18"/>
                                  <w:szCs w:val="18"/>
                                </w:rPr>
                                <w:t>分59秒</w:t>
                              </w:r>
                            </w:p>
                          </w:txbxContent>
                        </wps:txbx>
                        <wps:bodyPr rot="0" vert="horz" wrap="square" lIns="91440" tIns="45720" rIns="91440" bIns="45720" anchor="t" anchorCtr="0" upright="1">
                          <a:noAutofit/>
                        </wps:bodyPr>
                      </wps:wsp>
                    </wpg:wgp>
                  </a:graphicData>
                </a:graphic>
              </wp:inline>
            </w:drawing>
          </mc:Choice>
          <mc:Fallback>
            <w:pict>
              <v:group w14:anchorId="5C3D1B20" id="组合 16" o:spid="_x0000_s1026" style="width:658.2pt;height:66.5pt;mso-position-horizontal-relative:char;mso-position-vertical-relative:line" coordorigin="8538,18573" coordsize="66691,13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">
                <v:roundrect id="圆角矩形 9" o:spid="_x0000_s1027" style="position:absolute;left:8572;top:23574;width:20717;height:2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" fillcolor="#92d050" stroked="f"/>
                <v:roundrect id="圆角矩形 10" o:spid="_x0000_s1028" style="position:absolute;left:31432;top:23574;width:20717;height:2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" fillcolor="#00b0f0" stroked="f"/>
                <v:roundrect id="圆角矩形 11" o:spid="_x0000_s1029" style="position:absolute;left:54292;top:23574;width:20717;height:2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" fillcolor="red" stroked="f"/>
                <v:shapetype id="_x0000_t202" coordsize="21600,21600" o:spt="202" path="m,l,21600r21600,l21600,xe">
                  <v:stroke joinstyle="miter"/>
                  <v:path gradientshapeok="t" o:connecttype="rect"/>
                </v:shapetype>
                <v:shape id="TextBox 6" o:spid="_x0000_s1030" type="#_x0000_t202" style="position:absolute;left:8538;top:27138;width:8011;height:4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" filled="f" strokecolor="#92d050" strokeweight="1.5pt">
                  <v:textbox>
                    <w:txbxContent>
                      <w:p w14:paraId="0418BC2B" w14:textId="77777777" w:rsidR="00B37F7F" w:rsidRDefault="00000000">
                        <w:pPr>
                          <w:pStyle w:val="afff0"/>
                          <w:spacing w:before="0" w:beforeAutospacing="0" w:after="0" w:afterAutospacing="0"/>
                          <w:jc w:val="center"/>
                          <w:rPr>
                            <w:rFonts w:hint="eastAsia"/>
                            <w:sz w:val="18"/>
                            <w:szCs w:val="18"/>
                          </w:rPr>
                        </w:pPr>
                        <w:r>
                          <w:rPr>
                            <w:rFonts w:asciiTheme="minorHAnsi" w:eastAsiaTheme="minorEastAsia" w:cstheme="minorBidi" w:hint="eastAsia"/>
                            <w:color w:val="000000" w:themeColor="text1"/>
                            <w:kern w:val="24"/>
                            <w:sz w:val="18"/>
                            <w:szCs w:val="18"/>
                          </w:rPr>
                          <w:t>标本</w:t>
                        </w:r>
                        <w:r>
                          <w:rPr>
                            <w:rFonts w:asciiTheme="minorHAnsi" w:eastAsiaTheme="minorEastAsia" w:cstheme="minorBidi"/>
                            <w:color w:val="000000" w:themeColor="text1"/>
                            <w:kern w:val="24"/>
                            <w:sz w:val="18"/>
                            <w:szCs w:val="18"/>
                          </w:rPr>
                          <w:t>采集</w:t>
                        </w:r>
                      </w:p>
                    </w:txbxContent>
                  </v:textbox>
                </v:shape>
                <v:shape id="TextBox 7" o:spid="_x0000_s1031" type="#_x0000_t202" style="position:absolute;left:18035;top:27141;width:10945;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" filled="f" strokecolor="#92d050" strokeweight="1.5pt">
                  <v:textbox>
                    <w:txbxContent>
                      <w:p w14:paraId="06F9DAEA" w14:textId="77777777" w:rsidR="00B37F7F" w:rsidRDefault="00000000">
                        <w:pPr>
                          <w:pStyle w:val="afff0"/>
                          <w:spacing w:before="0" w:beforeAutospacing="0" w:after="0" w:afterAutospacing="0"/>
                          <w:jc w:val="center"/>
                          <w:rPr>
                            <w:rFonts w:hint="eastAsia"/>
                            <w:sz w:val="18"/>
                            <w:szCs w:val="18"/>
                          </w:rPr>
                        </w:pPr>
                        <w:r>
                          <w:rPr>
                            <w:rFonts w:asciiTheme="minorHAnsi" w:eastAsiaTheme="minorEastAsia" w:cstheme="minorBidi" w:hint="eastAsia"/>
                            <w:color w:val="000000" w:themeColor="text1"/>
                            <w:kern w:val="24"/>
                            <w:sz w:val="18"/>
                            <w:szCs w:val="18"/>
                          </w:rPr>
                          <w:t>当天</w:t>
                        </w:r>
                        <w:r>
                          <w:rPr>
                            <w:rFonts w:asciiTheme="minorHAnsi" w:eastAsiaTheme="minorEastAsia" w:hAnsi="Calibri" w:cstheme="minorBidi"/>
                            <w:color w:val="000000" w:themeColor="text1"/>
                            <w:kern w:val="24"/>
                            <w:sz w:val="18"/>
                            <w:szCs w:val="18"/>
                          </w:rPr>
                          <w:t>23</w:t>
                        </w:r>
                        <w:r>
                          <w:rPr>
                            <w:rFonts w:asciiTheme="minorHAnsi" w:eastAsiaTheme="minorEastAsia" w:cstheme="minorBidi" w:hint="eastAsia"/>
                            <w:color w:val="000000" w:themeColor="text1"/>
                            <w:kern w:val="24"/>
                            <w:sz w:val="18"/>
                            <w:szCs w:val="18"/>
                          </w:rPr>
                          <w:t>时</w:t>
                        </w:r>
                        <w:r>
                          <w:rPr>
                            <w:rFonts w:asciiTheme="minorHAnsi" w:eastAsiaTheme="minorEastAsia" w:hAnsi="Calibri" w:cstheme="minorBidi"/>
                            <w:color w:val="000000" w:themeColor="text1"/>
                            <w:kern w:val="24"/>
                            <w:sz w:val="18"/>
                            <w:szCs w:val="18"/>
                          </w:rPr>
                          <w:t>59</w:t>
                        </w:r>
                        <w:r>
                          <w:rPr>
                            <w:rFonts w:asciiTheme="minorHAnsi" w:eastAsiaTheme="minorEastAsia" w:cstheme="minorBidi" w:hint="eastAsia"/>
                            <w:color w:val="000000" w:themeColor="text1"/>
                            <w:kern w:val="24"/>
                            <w:sz w:val="18"/>
                            <w:szCs w:val="18"/>
                          </w:rPr>
                          <w:t>分</w:t>
                        </w:r>
                        <w:r>
                          <w:rPr>
                            <w:rFonts w:asciiTheme="minorHAnsi" w:eastAsiaTheme="minorEastAsia" w:cstheme="minorBidi" w:hint="eastAsia"/>
                            <w:color w:val="000000" w:themeColor="text1"/>
                            <w:kern w:val="24"/>
                            <w:sz w:val="18"/>
                            <w:szCs w:val="18"/>
                          </w:rPr>
                          <w:t>59</w:t>
                        </w:r>
                        <w:r>
                          <w:rPr>
                            <w:rFonts w:asciiTheme="minorHAnsi" w:eastAsiaTheme="minorEastAsia" w:cstheme="minorBidi" w:hint="eastAsia"/>
                            <w:color w:val="000000" w:themeColor="text1"/>
                            <w:kern w:val="24"/>
                            <w:sz w:val="18"/>
                            <w:szCs w:val="18"/>
                          </w:rPr>
                          <w:t>秒</w:t>
                        </w:r>
                      </w:p>
                    </w:txbxContent>
                  </v:textbox>
                </v:shape>
                <v:shape id="TextBox 8" o:spid="_x0000_s1032" type="#_x0000_t202" style="position:absolute;left:17144;top:18573;width:5530;height:3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" filled="f" stroked="f">
                  <v:textbox>
                    <w:txbxContent>
                      <w:p w14:paraId="2687DD8D" w14:textId="77777777" w:rsidR="00B37F7F" w:rsidRDefault="00000000">
                        <w:pPr>
                          <w:pStyle w:val="afff0"/>
                          <w:spacing w:before="0" w:beforeAutospacing="0" w:after="0" w:afterAutospacing="0"/>
                          <w:ind w:firstLine="360"/>
                          <w:rPr>
                            <w:rFonts w:hint="eastAsia"/>
                            <w:sz w:val="18"/>
                            <w:szCs w:val="18"/>
                          </w:rPr>
                        </w:pPr>
                        <w:r>
                          <w:rPr>
                            <w:rFonts w:asciiTheme="minorHAnsi" w:eastAsiaTheme="minorEastAsia" w:hAnsi="Calibri" w:cstheme="minorBidi"/>
                            <w:color w:val="000000" w:themeColor="text1"/>
                            <w:kern w:val="24"/>
                            <w:sz w:val="18"/>
                            <w:szCs w:val="18"/>
                          </w:rPr>
                          <w:t>0</w:t>
                        </w:r>
                        <w:r>
                          <w:rPr>
                            <w:rFonts w:asciiTheme="minorHAnsi" w:eastAsiaTheme="minorEastAsia" w:cstheme="minorBidi" w:hint="eastAsia"/>
                            <w:color w:val="000000" w:themeColor="text1"/>
                            <w:kern w:val="24"/>
                            <w:sz w:val="18"/>
                            <w:szCs w:val="18"/>
                          </w:rPr>
                          <w:t>天</w:t>
                        </w:r>
                      </w:p>
                    </w:txbxContent>
                  </v:textbox>
                </v:shape>
                <v:shape id="TextBox 9" o:spid="_x0000_s1033" type="#_x0000_t202" style="position:absolute;left:39680;top:18573;width:5530;height:3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" filled="f" stroked="f">
                  <v:textbox>
                    <w:txbxContent>
                      <w:p w14:paraId="7145C517" w14:textId="77777777" w:rsidR="00B37F7F" w:rsidRDefault="00000000">
                        <w:pPr>
                          <w:pStyle w:val="afff0"/>
                          <w:spacing w:before="0" w:beforeAutospacing="0" w:after="0" w:afterAutospacing="0"/>
                          <w:ind w:firstLine="360"/>
                          <w:rPr>
                            <w:rFonts w:hint="eastAsia"/>
                            <w:sz w:val="18"/>
                            <w:szCs w:val="18"/>
                          </w:rPr>
                        </w:pPr>
                        <w:r>
                          <w:rPr>
                            <w:rFonts w:asciiTheme="minorHAnsi" w:eastAsiaTheme="minorEastAsia" w:hAnsi="Calibri" w:cstheme="minorBidi"/>
                            <w:color w:val="000000" w:themeColor="text1"/>
                            <w:kern w:val="24"/>
                            <w:sz w:val="18"/>
                            <w:szCs w:val="18"/>
                          </w:rPr>
                          <w:t>1</w:t>
                        </w:r>
                        <w:r>
                          <w:rPr>
                            <w:rFonts w:asciiTheme="minorHAnsi" w:eastAsiaTheme="minorEastAsia" w:cstheme="minorBidi" w:hint="eastAsia"/>
                            <w:color w:val="000000" w:themeColor="text1"/>
                            <w:kern w:val="24"/>
                            <w:sz w:val="18"/>
                            <w:szCs w:val="18"/>
                          </w:rPr>
                          <w:t>天</w:t>
                        </w:r>
                      </w:p>
                    </w:txbxContent>
                  </v:textbox>
                </v:shape>
                <v:shape id="TextBox 10" o:spid="_x0000_s1034" type="#_x0000_t202" style="position:absolute;left:62144;top:18573;width:5530;height:3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" filled="f" stroked="f">
                  <v:textbox>
                    <w:txbxContent>
                      <w:p w14:paraId="49FC07D7" w14:textId="77777777" w:rsidR="00B37F7F" w:rsidRDefault="00000000">
                        <w:pPr>
                          <w:pStyle w:val="afff0"/>
                          <w:spacing w:before="0" w:beforeAutospacing="0" w:after="0" w:afterAutospacing="0"/>
                          <w:ind w:firstLine="360"/>
                          <w:rPr>
                            <w:rFonts w:hint="eastAsia"/>
                            <w:sz w:val="18"/>
                            <w:szCs w:val="18"/>
                          </w:rPr>
                        </w:pPr>
                        <w:r>
                          <w:rPr>
                            <w:rFonts w:asciiTheme="minorHAnsi" w:eastAsiaTheme="minorEastAsia" w:hAnsi="Calibri" w:cstheme="minorBidi"/>
                            <w:color w:val="000000" w:themeColor="text1"/>
                            <w:kern w:val="24"/>
                            <w:sz w:val="18"/>
                            <w:szCs w:val="18"/>
                          </w:rPr>
                          <w:t>2</w:t>
                        </w:r>
                        <w:r>
                          <w:rPr>
                            <w:rFonts w:asciiTheme="minorHAnsi" w:eastAsiaTheme="minorEastAsia" w:cstheme="minorBidi" w:hint="eastAsia"/>
                            <w:color w:val="000000" w:themeColor="text1"/>
                            <w:kern w:val="24"/>
                            <w:sz w:val="18"/>
                            <w:szCs w:val="18"/>
                          </w:rPr>
                          <w:t>天</w:t>
                        </w:r>
                      </w:p>
                    </w:txbxContent>
                  </v:textbox>
                </v:shape>
                <v:shape id="TextBox 11" o:spid="_x0000_s1035" type="#_x0000_t202" style="position:absolute;left:31392;top:27133;width:7588;height:4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" filled="f" strokecolor="#00b0f0" strokeweight="1.5pt">
                  <v:textbox>
                    <w:txbxContent>
                      <w:p w14:paraId="0C14623C" w14:textId="77777777" w:rsidR="00B37F7F" w:rsidRDefault="00000000">
                        <w:pPr>
                          <w:pStyle w:val="afff0"/>
                          <w:spacing w:before="0" w:beforeAutospacing="0" w:after="0" w:afterAutospacing="0"/>
                          <w:jc w:val="center"/>
                          <w:rPr>
                            <w:rFonts w:asciiTheme="minorEastAsia" w:eastAsiaTheme="minorEastAsia" w:hAnsiTheme="minorEastAsia" w:hint="eastAsia"/>
                            <w:sz w:val="18"/>
                            <w:szCs w:val="18"/>
                          </w:rPr>
                        </w:pPr>
                        <w:r>
                          <w:rPr>
                            <w:rFonts w:asciiTheme="minorEastAsia" w:eastAsiaTheme="minorEastAsia" w:hAnsiTheme="minorEastAsia" w:cstheme="minorBidi" w:hint="eastAsia"/>
                            <w:color w:val="000000" w:themeColor="text1"/>
                            <w:kern w:val="24"/>
                            <w:sz w:val="18"/>
                            <w:szCs w:val="18"/>
                          </w:rPr>
                          <w:t>当天</w:t>
                        </w:r>
                        <w:r>
                          <w:rPr>
                            <w:rFonts w:asciiTheme="minorEastAsia" w:eastAsiaTheme="minorEastAsia" w:hAnsiTheme="minorEastAsia" w:cstheme="minorBidi"/>
                            <w:color w:val="000000" w:themeColor="text1"/>
                            <w:kern w:val="24"/>
                            <w:sz w:val="18"/>
                            <w:szCs w:val="18"/>
                          </w:rPr>
                          <w:t>0</w:t>
                        </w:r>
                        <w:r>
                          <w:rPr>
                            <w:rFonts w:asciiTheme="minorEastAsia" w:eastAsiaTheme="minorEastAsia" w:hAnsiTheme="minorEastAsia" w:cstheme="minorBidi" w:hint="eastAsia"/>
                            <w:color w:val="000000" w:themeColor="text1"/>
                            <w:kern w:val="24"/>
                            <w:sz w:val="18"/>
                            <w:szCs w:val="18"/>
                          </w:rPr>
                          <w:t>点</w:t>
                        </w:r>
                      </w:p>
                    </w:txbxContent>
                  </v:textbox>
                </v:shape>
                <v:shape id="TextBox 13" o:spid="_x0000_s1036" type="#_x0000_t202" style="position:absolute;left:41174;top:27137;width:10731;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" filled="f" strokecolor="#00b0f0" strokeweight="1.5pt">
                  <v:textbox>
                    <w:txbxContent>
                      <w:p w14:paraId="539ECB50" w14:textId="77777777" w:rsidR="00B37F7F" w:rsidRDefault="00000000">
                        <w:pPr>
                          <w:pStyle w:val="afff0"/>
                          <w:spacing w:before="0" w:beforeAutospacing="0" w:after="0" w:afterAutospacing="0"/>
                          <w:jc w:val="center"/>
                          <w:rPr>
                            <w:rFonts w:asciiTheme="minorEastAsia" w:eastAsiaTheme="minorEastAsia" w:hAnsiTheme="minorEastAsia" w:hint="eastAsia"/>
                            <w:sz w:val="18"/>
                            <w:szCs w:val="18"/>
                          </w:rPr>
                        </w:pPr>
                        <w:r>
                          <w:rPr>
                            <w:rFonts w:asciiTheme="minorEastAsia" w:eastAsiaTheme="minorEastAsia" w:hAnsiTheme="minorEastAsia" w:cstheme="minorBidi" w:hint="eastAsia"/>
                            <w:color w:val="000000" w:themeColor="text1"/>
                            <w:kern w:val="24"/>
                            <w:sz w:val="18"/>
                            <w:szCs w:val="18"/>
                          </w:rPr>
                          <w:t>当天</w:t>
                        </w:r>
                        <w:r>
                          <w:rPr>
                            <w:rFonts w:asciiTheme="minorEastAsia" w:eastAsiaTheme="minorEastAsia" w:hAnsiTheme="minorEastAsia" w:cstheme="minorBidi"/>
                            <w:color w:val="000000" w:themeColor="text1"/>
                            <w:kern w:val="24"/>
                            <w:sz w:val="18"/>
                            <w:szCs w:val="18"/>
                          </w:rPr>
                          <w:t>23</w:t>
                        </w:r>
                        <w:r>
                          <w:rPr>
                            <w:rFonts w:asciiTheme="minorEastAsia" w:eastAsiaTheme="minorEastAsia" w:hAnsiTheme="minorEastAsia" w:cstheme="minorBidi" w:hint="eastAsia"/>
                            <w:color w:val="000000" w:themeColor="text1"/>
                            <w:kern w:val="24"/>
                            <w:sz w:val="18"/>
                            <w:szCs w:val="18"/>
                          </w:rPr>
                          <w:t>时</w:t>
                        </w:r>
                        <w:r>
                          <w:rPr>
                            <w:rFonts w:asciiTheme="minorEastAsia" w:eastAsiaTheme="minorEastAsia" w:hAnsiTheme="minorEastAsia" w:cstheme="minorBidi"/>
                            <w:color w:val="000000" w:themeColor="text1"/>
                            <w:kern w:val="24"/>
                            <w:sz w:val="18"/>
                            <w:szCs w:val="18"/>
                          </w:rPr>
                          <w:t>59</w:t>
                        </w:r>
                        <w:r>
                          <w:rPr>
                            <w:rFonts w:asciiTheme="minorEastAsia" w:eastAsiaTheme="minorEastAsia" w:hAnsiTheme="minorEastAsia" w:cstheme="minorBidi" w:hint="eastAsia"/>
                            <w:color w:val="000000" w:themeColor="text1"/>
                            <w:kern w:val="24"/>
                            <w:sz w:val="18"/>
                            <w:szCs w:val="18"/>
                          </w:rPr>
                          <w:t>分59秒</w:t>
                        </w:r>
                      </w:p>
                    </w:txbxContent>
                  </v:textbox>
                </v:shape>
                <v:shape id="TextBox 14" o:spid="_x0000_s1037" type="#_x0000_t202" style="position:absolute;left:54716;top:27133;width:7170;height:48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" filled="f" strokecolor="red" strokeweight="1.5pt">
                  <v:textbox>
                    <w:txbxContent>
                      <w:p w14:paraId="7C0CAA82" w14:textId="77777777" w:rsidR="00B37F7F" w:rsidRDefault="00000000">
                        <w:pPr>
                          <w:pStyle w:val="afff0"/>
                          <w:spacing w:before="0" w:beforeAutospacing="0" w:after="0" w:afterAutospacing="0"/>
                          <w:jc w:val="center"/>
                          <w:rPr>
                            <w:rFonts w:asciiTheme="minorEastAsia" w:eastAsiaTheme="minorEastAsia" w:hAnsiTheme="minorEastAsia" w:hint="eastAsia"/>
                            <w:sz w:val="18"/>
                            <w:szCs w:val="18"/>
                          </w:rPr>
                        </w:pPr>
                        <w:r>
                          <w:rPr>
                            <w:rFonts w:asciiTheme="minorEastAsia" w:eastAsiaTheme="minorEastAsia" w:hAnsiTheme="minorEastAsia" w:cstheme="minorBidi" w:hint="eastAsia"/>
                            <w:color w:val="000000" w:themeColor="text1"/>
                            <w:kern w:val="24"/>
                            <w:sz w:val="18"/>
                            <w:szCs w:val="18"/>
                          </w:rPr>
                          <w:t>当天</w:t>
                        </w:r>
                        <w:r>
                          <w:rPr>
                            <w:rFonts w:asciiTheme="minorEastAsia" w:eastAsiaTheme="minorEastAsia" w:hAnsiTheme="minorEastAsia" w:cstheme="minorBidi"/>
                            <w:color w:val="000000" w:themeColor="text1"/>
                            <w:kern w:val="24"/>
                            <w:sz w:val="18"/>
                            <w:szCs w:val="18"/>
                          </w:rPr>
                          <w:t>0</w:t>
                        </w:r>
                        <w:r>
                          <w:rPr>
                            <w:rFonts w:asciiTheme="minorEastAsia" w:eastAsiaTheme="minorEastAsia" w:hAnsiTheme="minorEastAsia" w:cstheme="minorBidi" w:hint="eastAsia"/>
                            <w:color w:val="000000" w:themeColor="text1"/>
                            <w:kern w:val="24"/>
                            <w:sz w:val="18"/>
                            <w:szCs w:val="18"/>
                          </w:rPr>
                          <w:t>点</w:t>
                        </w:r>
                      </w:p>
                    </w:txbxContent>
                  </v:textbox>
                </v:shape>
                <v:shape id="TextBox 15" o:spid="_x0000_s1038" type="#_x0000_t202" style="position:absolute;left:64671;top:27139;width:10558;height:4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" filled="f" strokecolor="red" strokeweight="1.5pt">
                  <v:textbox>
                    <w:txbxContent>
                      <w:p w14:paraId="5D465AA4" w14:textId="77777777" w:rsidR="00B37F7F" w:rsidRDefault="00000000">
                        <w:pPr>
                          <w:pStyle w:val="afff0"/>
                          <w:spacing w:before="0" w:beforeAutospacing="0" w:after="0" w:afterAutospacing="0"/>
                          <w:jc w:val="center"/>
                          <w:rPr>
                            <w:rFonts w:asciiTheme="minorEastAsia" w:eastAsiaTheme="minorEastAsia" w:hAnsiTheme="minorEastAsia" w:hint="eastAsia"/>
                            <w:sz w:val="18"/>
                            <w:szCs w:val="18"/>
                          </w:rPr>
                        </w:pPr>
                        <w:r>
                          <w:rPr>
                            <w:rFonts w:asciiTheme="minorEastAsia" w:eastAsiaTheme="minorEastAsia" w:hAnsiTheme="minorEastAsia" w:cstheme="minorBidi" w:hint="eastAsia"/>
                            <w:color w:val="000000" w:themeColor="text1"/>
                            <w:kern w:val="24"/>
                            <w:sz w:val="18"/>
                            <w:szCs w:val="18"/>
                          </w:rPr>
                          <w:t>当天</w:t>
                        </w:r>
                        <w:r>
                          <w:rPr>
                            <w:rFonts w:asciiTheme="minorEastAsia" w:eastAsiaTheme="minorEastAsia" w:hAnsiTheme="minorEastAsia" w:cstheme="minorBidi"/>
                            <w:color w:val="000000" w:themeColor="text1"/>
                            <w:kern w:val="24"/>
                            <w:sz w:val="18"/>
                            <w:szCs w:val="18"/>
                          </w:rPr>
                          <w:t>23</w:t>
                        </w:r>
                        <w:r>
                          <w:rPr>
                            <w:rFonts w:asciiTheme="minorEastAsia" w:eastAsiaTheme="minorEastAsia" w:hAnsiTheme="minorEastAsia" w:cstheme="minorBidi" w:hint="eastAsia"/>
                            <w:color w:val="000000" w:themeColor="text1"/>
                            <w:kern w:val="24"/>
                            <w:sz w:val="18"/>
                            <w:szCs w:val="18"/>
                          </w:rPr>
                          <w:t>时</w:t>
                        </w:r>
                        <w:r>
                          <w:rPr>
                            <w:rFonts w:asciiTheme="minorEastAsia" w:eastAsiaTheme="minorEastAsia" w:hAnsiTheme="minorEastAsia" w:cstheme="minorBidi"/>
                            <w:color w:val="000000" w:themeColor="text1"/>
                            <w:kern w:val="24"/>
                            <w:sz w:val="18"/>
                            <w:szCs w:val="18"/>
                          </w:rPr>
                          <w:t>59</w:t>
                        </w:r>
                        <w:r>
                          <w:rPr>
                            <w:rFonts w:asciiTheme="minorEastAsia" w:eastAsiaTheme="minorEastAsia" w:hAnsiTheme="minorEastAsia" w:cstheme="minorBidi" w:hint="eastAsia"/>
                            <w:color w:val="000000" w:themeColor="text1"/>
                            <w:kern w:val="24"/>
                            <w:sz w:val="18"/>
                            <w:szCs w:val="18"/>
                          </w:rPr>
                          <w:t>分59秒</w:t>
                        </w:r>
                      </w:p>
                    </w:txbxContent>
                  </v:textbox>
                </v:shape>
                <w10:anchorlock/>
              </v:group>
            </w:pict>
          </mc:Fallback>
        </mc:AlternateContent>
      </w:r>
    </w:p>
    <w:p w14:paraId="3EF838DC" w14:textId="77777777" w:rsidR="00B37F7F" w:rsidRDefault="00B37F7F">
      <w:pPr>
        <w:rPr>
          <w:rFonts w:ascii="MS Mincho" w:eastAsiaTheme="minorEastAsia" w:hAnsi="MS Mincho" w:cs="MS Mincho" w:hint="eastAsia"/>
        </w:rPr>
      </w:pPr>
    </w:p>
    <w:p w14:paraId="53AA2FFB" w14:textId="77777777" w:rsidR="00B37F7F" w:rsidRDefault="00000000">
      <w:pPr>
        <w:pStyle w:val="af4"/>
        <w:spacing w:before="156" w:after="156"/>
        <w:rPr>
          <w:rFonts w:ascii="Times New Roman"/>
        </w:rPr>
      </w:pPr>
      <w:r>
        <w:rPr>
          <w:rFonts w:ascii="Times New Roman" w:hint="eastAsia"/>
        </w:rPr>
        <w:t>支持过程质量监测指标</w:t>
      </w:r>
    </w:p>
    <w:tbl>
      <w:tblPr>
        <w:tblW w:w="132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117"/>
        <w:gridCol w:w="4536"/>
        <w:gridCol w:w="2126"/>
        <w:gridCol w:w="4460"/>
      </w:tblGrid>
      <w:tr w:rsidR="00B37F7F" w14:paraId="274183C5" w14:textId="77777777">
        <w:trPr>
          <w:trHeight w:val="599"/>
        </w:trPr>
        <w:tc>
          <w:tcPr>
            <w:tcW w:w="2117" w:type="dxa"/>
          </w:tcPr>
          <w:p w14:paraId="42FF84C7"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质量监测指标</w:t>
            </w:r>
          </w:p>
        </w:tc>
        <w:tc>
          <w:tcPr>
            <w:tcW w:w="4536" w:type="dxa"/>
          </w:tcPr>
          <w:p w14:paraId="5F95A2E7"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计算方法</w:t>
            </w:r>
          </w:p>
        </w:tc>
        <w:tc>
          <w:tcPr>
            <w:tcW w:w="2126" w:type="dxa"/>
          </w:tcPr>
          <w:p w14:paraId="0A97653E"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意义</w:t>
            </w:r>
          </w:p>
        </w:tc>
        <w:tc>
          <w:tcPr>
            <w:tcW w:w="4460" w:type="dxa"/>
          </w:tcPr>
          <w:p w14:paraId="6D13AF85" w14:textId="77777777" w:rsidR="00B37F7F" w:rsidRDefault="00000000">
            <w:pPr>
              <w:pStyle w:val="affff1"/>
              <w:spacing w:before="156" w:after="156"/>
              <w:jc w:val="center"/>
              <w:rPr>
                <w:rFonts w:ascii="Times New Roman" w:eastAsia="宋体"/>
                <w:sz w:val="18"/>
                <w:szCs w:val="18"/>
              </w:rPr>
            </w:pPr>
            <w:r>
              <w:rPr>
                <w:rFonts w:ascii="Times New Roman" w:eastAsia="宋体" w:hint="eastAsia"/>
                <w:sz w:val="18"/>
                <w:szCs w:val="18"/>
              </w:rPr>
              <w:t>解释</w:t>
            </w:r>
          </w:p>
        </w:tc>
      </w:tr>
      <w:tr w:rsidR="00B37F7F" w14:paraId="202137B3" w14:textId="77777777">
        <w:trPr>
          <w:trHeight w:val="900"/>
        </w:trPr>
        <w:tc>
          <w:tcPr>
            <w:tcW w:w="2117" w:type="dxa"/>
          </w:tcPr>
          <w:p w14:paraId="1768D930" w14:textId="77777777" w:rsidR="00B37F7F" w:rsidRDefault="00000000">
            <w:pPr>
              <w:rPr>
                <w:sz w:val="18"/>
                <w:szCs w:val="18"/>
              </w:rPr>
            </w:pPr>
            <w:r>
              <w:rPr>
                <w:rFonts w:hint="eastAsia"/>
                <w:sz w:val="18"/>
                <w:szCs w:val="18"/>
              </w:rPr>
              <w:t>（年）实验室人均工作量</w:t>
            </w:r>
          </w:p>
        </w:tc>
        <w:tc>
          <w:tcPr>
            <w:tcW w:w="4536" w:type="dxa"/>
          </w:tcPr>
          <w:p w14:paraId="2C60B7E4"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检测人份数</m:t>
                    </m:r>
                  </m:num>
                  <m:den>
                    <m:r>
                      <m:rPr>
                        <m:sty m:val="p"/>
                      </m:rPr>
                      <w:rPr>
                        <w:rFonts w:ascii="Cambria Math" w:hAnsi="Cambria Math" w:cs="Cambria Math" w:hint="eastAsia"/>
                        <w:sz w:val="18"/>
                        <w:szCs w:val="18"/>
                      </w:rPr>
                      <m:t>实验室人员数</m:t>
                    </m:r>
                  </m:den>
                </m:f>
              </m:oMath>
            </m:oMathPara>
          </w:p>
        </w:tc>
        <w:tc>
          <w:tcPr>
            <w:tcW w:w="2126" w:type="dxa"/>
          </w:tcPr>
          <w:p w14:paraId="157B7B2D" w14:textId="77777777" w:rsidR="00B37F7F" w:rsidRDefault="00000000">
            <w:pPr>
              <w:rPr>
                <w:sz w:val="18"/>
                <w:szCs w:val="18"/>
              </w:rPr>
            </w:pPr>
            <w:r>
              <w:rPr>
                <w:rFonts w:hint="eastAsia"/>
                <w:sz w:val="18"/>
                <w:szCs w:val="18"/>
              </w:rPr>
              <w:t>与实验室人员数量和标本数量有关，反映了实验室工作效率。</w:t>
            </w:r>
          </w:p>
        </w:tc>
        <w:tc>
          <w:tcPr>
            <w:tcW w:w="4460" w:type="dxa"/>
          </w:tcPr>
          <w:p w14:paraId="3D311C8E" w14:textId="77777777" w:rsidR="00B37F7F" w:rsidRDefault="00000000">
            <w:pPr>
              <w:rPr>
                <w:sz w:val="18"/>
                <w:szCs w:val="18"/>
              </w:rPr>
            </w:pPr>
            <w:r>
              <w:rPr>
                <w:rFonts w:hint="eastAsia"/>
                <w:sz w:val="18"/>
                <w:szCs w:val="18"/>
              </w:rPr>
              <w:t>该指标指平均每位员工所承担的工作量情况。与实验室检测规模、运作模式、技术平台及自动化程度相关。同一规模实验室该指标应相接近。</w:t>
            </w:r>
          </w:p>
        </w:tc>
      </w:tr>
      <w:tr w:rsidR="00B37F7F" w14:paraId="5A4AE40C" w14:textId="77777777">
        <w:trPr>
          <w:trHeight w:val="470"/>
        </w:trPr>
        <w:tc>
          <w:tcPr>
            <w:tcW w:w="2117" w:type="dxa"/>
          </w:tcPr>
          <w:p w14:paraId="356285C6" w14:textId="77777777" w:rsidR="00B37F7F" w:rsidRDefault="00000000">
            <w:pPr>
              <w:pStyle w:val="affff1"/>
              <w:spacing w:before="156" w:after="156"/>
              <w:jc w:val="both"/>
              <w:rPr>
                <w:rFonts w:ascii="Times New Roman" w:eastAsia="宋体"/>
                <w:sz w:val="18"/>
                <w:szCs w:val="18"/>
              </w:rPr>
            </w:pPr>
            <w:r>
              <w:rPr>
                <w:rFonts w:ascii="Times New Roman" w:eastAsia="宋体" w:hint="eastAsia"/>
                <w:sz w:val="18"/>
                <w:szCs w:val="18"/>
              </w:rPr>
              <w:t>（月）设备故障率</w:t>
            </w:r>
            <w:r>
              <w:rPr>
                <w:rFonts w:hint="eastAsia"/>
                <w:sz w:val="18"/>
                <w:szCs w:val="18"/>
              </w:rPr>
              <w:t>（</w:t>
            </w:r>
            <w:r>
              <w:rPr>
                <w:rFonts w:ascii="Times New Roman"/>
                <w:sz w:val="18"/>
                <w:szCs w:val="18"/>
              </w:rPr>
              <w:t>%</w:t>
            </w:r>
            <w:r>
              <w:rPr>
                <w:rFonts w:hint="eastAsia"/>
                <w:sz w:val="18"/>
                <w:szCs w:val="18"/>
              </w:rPr>
              <w:t>）</w:t>
            </w:r>
          </w:p>
        </w:tc>
        <w:tc>
          <w:tcPr>
            <w:tcW w:w="4536" w:type="dxa"/>
          </w:tcPr>
          <w:p w14:paraId="1FB2DC2A" w14:textId="77777777" w:rsidR="00B37F7F" w:rsidRDefault="00000000">
            <w:pPr>
              <w:rPr>
                <w:sz w:val="18"/>
                <w:szCs w:val="18"/>
              </w:rPr>
            </w:pPr>
            <m:oMathPara>
              <m:oMathParaPr>
                <m:jc m:val="left"/>
              </m:oMathParaPr>
              <m:oMath>
                <m:f>
                  <m:fPr>
                    <m:ctrlPr>
                      <w:rPr>
                        <w:rFonts w:ascii="Cambria Math" w:hAnsi="Cambria Math"/>
                        <w:sz w:val="18"/>
                        <w:szCs w:val="18"/>
                      </w:rPr>
                    </m:ctrlPr>
                  </m:fPr>
                  <m:num>
                    <m:r>
                      <m:rPr>
                        <m:sty m:val="p"/>
                      </m:rPr>
                      <w:rPr>
                        <w:rFonts w:ascii="Cambria Math" w:hAnsi="Cambria Math" w:hint="eastAsia"/>
                        <w:sz w:val="18"/>
                        <w:szCs w:val="18"/>
                      </w:rPr>
                      <m:t>设备故障天数</m:t>
                    </m:r>
                  </m:num>
                  <m:den>
                    <m:r>
                      <m:rPr>
                        <m:sty m:val="p"/>
                      </m:rPr>
                      <w:rPr>
                        <w:rFonts w:ascii="Cambria Math" w:hAnsi="Cambria Math" w:cs="Cambria Math" w:hint="eastAsia"/>
                        <w:sz w:val="18"/>
                        <w:szCs w:val="18"/>
                      </w:rPr>
                      <m:t>（月）天数</m:t>
                    </m:r>
                  </m:den>
                </m:f>
                <m:r>
                  <m:rPr>
                    <m:sty m:val="p"/>
                  </m:rPr>
                  <w:rPr>
                    <w:rFonts w:ascii="Cambria Math" w:hAnsi="Cambria Math"/>
                    <w:sz w:val="18"/>
                    <w:szCs w:val="18"/>
                  </w:rPr>
                  <m:t>×100%</m:t>
                </m:r>
              </m:oMath>
            </m:oMathPara>
          </w:p>
        </w:tc>
        <w:tc>
          <w:tcPr>
            <w:tcW w:w="2126" w:type="dxa"/>
          </w:tcPr>
          <w:p w14:paraId="2BB50BEE" w14:textId="77777777" w:rsidR="00B37F7F" w:rsidRDefault="00000000">
            <w:pPr>
              <w:rPr>
                <w:sz w:val="18"/>
                <w:szCs w:val="18"/>
              </w:rPr>
            </w:pPr>
            <w:r>
              <w:rPr>
                <w:rFonts w:hint="eastAsia"/>
                <w:sz w:val="18"/>
                <w:szCs w:val="18"/>
              </w:rPr>
              <w:t>与设备运行情况有关，反映设备使用过程的稳定性和顺畅性。</w:t>
            </w:r>
          </w:p>
        </w:tc>
        <w:tc>
          <w:tcPr>
            <w:tcW w:w="4460" w:type="dxa"/>
          </w:tcPr>
          <w:p w14:paraId="5B9766AD" w14:textId="77777777" w:rsidR="00B37F7F" w:rsidRDefault="00000000">
            <w:pPr>
              <w:rPr>
                <w:sz w:val="18"/>
                <w:szCs w:val="18"/>
              </w:rPr>
            </w:pPr>
            <w:r>
              <w:rPr>
                <w:rFonts w:hint="eastAsia"/>
                <w:sz w:val="18"/>
                <w:szCs w:val="18"/>
              </w:rPr>
              <w:t>该指标反映了实验室设备状况和可用率。设备故障天数指因人为、设备硬件、设备软件等原因导致设备无法投入正常使用的天数。宜以单台设备、按月为周期统计。该指标属于低优指标，指标值越低越好，如故障率高于其他实验室，应加强设备维护保养、故障后维修效率和（或）实验室人员设备使用培训等。</w:t>
            </w:r>
          </w:p>
        </w:tc>
      </w:tr>
      <w:tr w:rsidR="00B37F7F" w14:paraId="2257AFC4" w14:textId="77777777">
        <w:trPr>
          <w:trHeight w:val="470"/>
        </w:trPr>
        <w:tc>
          <w:tcPr>
            <w:tcW w:w="2117" w:type="dxa"/>
          </w:tcPr>
          <w:p w14:paraId="061B7B1A" w14:textId="77777777" w:rsidR="00B37F7F" w:rsidRDefault="00000000">
            <w:pPr>
              <w:rPr>
                <w:sz w:val="18"/>
                <w:szCs w:val="18"/>
              </w:rPr>
            </w:pPr>
            <w:r>
              <w:rPr>
                <w:rFonts w:hint="eastAsia"/>
                <w:sz w:val="18"/>
                <w:szCs w:val="18"/>
              </w:rPr>
              <w:lastRenderedPageBreak/>
              <w:t>试剂使用率（</w:t>
            </w:r>
            <w:r>
              <w:rPr>
                <w:rFonts w:hint="eastAsia"/>
                <w:sz w:val="18"/>
                <w:szCs w:val="18"/>
              </w:rPr>
              <w:t>%</w:t>
            </w:r>
            <w:r>
              <w:rPr>
                <w:rFonts w:hint="eastAsia"/>
                <w:sz w:val="18"/>
                <w:szCs w:val="18"/>
              </w:rPr>
              <w:t>）</w:t>
            </w:r>
          </w:p>
        </w:tc>
        <w:tc>
          <w:tcPr>
            <w:tcW w:w="4536" w:type="dxa"/>
          </w:tcPr>
          <w:p w14:paraId="674E46A5" w14:textId="77777777" w:rsidR="00B37F7F" w:rsidRDefault="00000000">
            <w:pPr>
              <w:rPr>
                <w:sz w:val="18"/>
                <w:szCs w:val="18"/>
              </w:rPr>
            </w:pPr>
            <m:oMathPara>
              <m:oMathParaPr>
                <m:jc m:val="left"/>
              </m:oMathParaPr>
              <m:oMath>
                <m:f>
                  <m:fPr>
                    <m:ctrlPr>
                      <w:rPr>
                        <w:rFonts w:ascii="Cambria Math" w:eastAsiaTheme="minorEastAsia" w:hAnsi="Cambria Math"/>
                        <w:sz w:val="18"/>
                        <w:szCs w:val="18"/>
                      </w:rPr>
                    </m:ctrlPr>
                  </m:fPr>
                  <m:num>
                    <m:r>
                      <m:rPr>
                        <m:sty m:val="p"/>
                      </m:rPr>
                      <w:rPr>
                        <w:rFonts w:ascii="Cambria Math" w:eastAsiaTheme="minorEastAsia" w:hAnsi="Cambria Math" w:hint="eastAsia"/>
                        <w:sz w:val="18"/>
                        <w:szCs w:val="18"/>
                      </w:rPr>
                      <m:t>试剂使用人份数</m:t>
                    </m:r>
                  </m:num>
                  <m:den>
                    <m:r>
                      <m:rPr>
                        <m:sty m:val="p"/>
                      </m:rPr>
                      <w:rPr>
                        <w:rFonts w:ascii="Cambria Math" w:eastAsiaTheme="minorEastAsia" w:hAnsi="Cambria Math" w:hint="eastAsia"/>
                        <w:sz w:val="18"/>
                        <w:szCs w:val="18"/>
                      </w:rPr>
                      <m:t>试剂检测人份数</m:t>
                    </m:r>
                  </m:den>
                </m:f>
                <m:r>
                  <m:rPr>
                    <m:sty m:val="p"/>
                  </m:rPr>
                  <w:rPr>
                    <w:rFonts w:ascii="Cambria Math" w:eastAsiaTheme="minorEastAsia" w:hAnsi="Cambria Math"/>
                    <w:sz w:val="18"/>
                    <w:szCs w:val="18"/>
                  </w:rPr>
                  <m:t>×100%</m:t>
                </m:r>
              </m:oMath>
            </m:oMathPara>
          </w:p>
        </w:tc>
        <w:tc>
          <w:tcPr>
            <w:tcW w:w="2126" w:type="dxa"/>
          </w:tcPr>
          <w:p w14:paraId="40F91C9B" w14:textId="77777777" w:rsidR="00B37F7F" w:rsidRDefault="00000000">
            <w:pPr>
              <w:rPr>
                <w:sz w:val="18"/>
                <w:szCs w:val="18"/>
              </w:rPr>
            </w:pPr>
            <w:r>
              <w:rPr>
                <w:rFonts w:hint="eastAsia"/>
                <w:sz w:val="18"/>
                <w:szCs w:val="18"/>
              </w:rPr>
              <w:t>与试剂使用情况有关，反映试验过程的稳定性和顺畅性。</w:t>
            </w:r>
          </w:p>
        </w:tc>
        <w:tc>
          <w:tcPr>
            <w:tcW w:w="4460" w:type="dxa"/>
          </w:tcPr>
          <w:p w14:paraId="2FCB3908" w14:textId="77777777" w:rsidR="00B37F7F" w:rsidRDefault="00000000">
            <w:pPr>
              <w:rPr>
                <w:sz w:val="18"/>
                <w:szCs w:val="18"/>
              </w:rPr>
            </w:pPr>
            <w:r>
              <w:rPr>
                <w:rFonts w:hint="eastAsia"/>
                <w:sz w:val="18"/>
                <w:szCs w:val="18"/>
              </w:rPr>
              <w:t>该指标反映了检测一人份标本所需的试剂使用情况。试剂使用人份数为实验室一定时间内所使用的试剂数量，试剂检测人份数为一定时间内应用该试剂检测的献血者人份数。该指标是衡量检测效率的重要指标。通过该指标可以评估检测过程试剂的使用是否处于一个合理的水平。试剂使用率升高一般是由于试验失败或是其他原因导致的试剂额外使用，应结合其他指标如无效批次率、无效结果率，综合采取应对措施。按照试剂种类分别填报。该指标属于低优指标，指标值越低越好。</w:t>
            </w:r>
          </w:p>
        </w:tc>
      </w:tr>
      <w:tr w:rsidR="00B37F7F" w14:paraId="69D5DD48" w14:textId="77777777">
        <w:trPr>
          <w:trHeight w:val="470"/>
        </w:trPr>
        <w:tc>
          <w:tcPr>
            <w:tcW w:w="2117" w:type="dxa"/>
          </w:tcPr>
          <w:p w14:paraId="18FEAD19" w14:textId="77777777" w:rsidR="00B37F7F" w:rsidRDefault="00000000">
            <w:pPr>
              <w:rPr>
                <w:sz w:val="18"/>
                <w:szCs w:val="18"/>
              </w:rPr>
            </w:pPr>
            <w:r>
              <w:rPr>
                <w:rFonts w:hint="eastAsia"/>
                <w:sz w:val="18"/>
                <w:szCs w:val="18"/>
              </w:rPr>
              <w:t>（年）试剂使用批次数</w:t>
            </w:r>
          </w:p>
        </w:tc>
        <w:tc>
          <w:tcPr>
            <w:tcW w:w="4536" w:type="dxa"/>
          </w:tcPr>
          <w:p w14:paraId="7D436913" w14:textId="77777777" w:rsidR="00B37F7F" w:rsidRDefault="00000000">
            <w:pPr>
              <w:rPr>
                <w:sz w:val="18"/>
                <w:szCs w:val="18"/>
              </w:rPr>
            </w:pPr>
            <w:r>
              <w:rPr>
                <w:rFonts w:hint="eastAsia"/>
                <w:sz w:val="18"/>
                <w:szCs w:val="18"/>
              </w:rPr>
              <w:t>一年中每类试剂使用的批次数</w:t>
            </w:r>
          </w:p>
        </w:tc>
        <w:tc>
          <w:tcPr>
            <w:tcW w:w="2126" w:type="dxa"/>
          </w:tcPr>
          <w:p w14:paraId="1E230BAB" w14:textId="77777777" w:rsidR="00B37F7F" w:rsidRDefault="00000000">
            <w:pPr>
              <w:rPr>
                <w:sz w:val="18"/>
                <w:szCs w:val="18"/>
              </w:rPr>
            </w:pPr>
            <w:r>
              <w:rPr>
                <w:rFonts w:hint="eastAsia"/>
                <w:sz w:val="18"/>
                <w:szCs w:val="18"/>
              </w:rPr>
              <w:t>与试剂使用批次有关，反映实验室试剂更换频次和稳定性。</w:t>
            </w:r>
          </w:p>
        </w:tc>
        <w:tc>
          <w:tcPr>
            <w:tcW w:w="4460" w:type="dxa"/>
          </w:tcPr>
          <w:p w14:paraId="41836C13" w14:textId="77777777" w:rsidR="00B37F7F" w:rsidRDefault="00000000">
            <w:pPr>
              <w:rPr>
                <w:sz w:val="18"/>
                <w:szCs w:val="18"/>
              </w:rPr>
            </w:pPr>
            <w:r>
              <w:rPr>
                <w:rFonts w:hint="eastAsia"/>
                <w:sz w:val="18"/>
                <w:szCs w:val="18"/>
              </w:rPr>
              <w:t>试剂使用批次为实验室所用试剂的批号数量。按照试剂种类分别填报。应用同一试剂的同等规模实验室应有相近的试剂使用批次。</w:t>
            </w:r>
          </w:p>
        </w:tc>
      </w:tr>
      <w:tr w:rsidR="00B37F7F" w14:paraId="11CE9DB5" w14:textId="77777777">
        <w:trPr>
          <w:trHeight w:val="470"/>
        </w:trPr>
        <w:tc>
          <w:tcPr>
            <w:tcW w:w="2117" w:type="dxa"/>
          </w:tcPr>
          <w:p w14:paraId="4C96FED4" w14:textId="77777777" w:rsidR="00B37F7F" w:rsidRDefault="00000000">
            <w:pPr>
              <w:rPr>
                <w:sz w:val="18"/>
                <w:szCs w:val="18"/>
              </w:rPr>
            </w:pPr>
            <w:r>
              <w:rPr>
                <w:rFonts w:hint="eastAsia"/>
                <w:sz w:val="18"/>
                <w:szCs w:val="18"/>
              </w:rPr>
              <w:t>实验室人员职业暴露次数</w:t>
            </w:r>
          </w:p>
        </w:tc>
        <w:tc>
          <w:tcPr>
            <w:tcW w:w="4536" w:type="dxa"/>
          </w:tcPr>
          <w:p w14:paraId="57BAE587" w14:textId="77777777" w:rsidR="00B37F7F" w:rsidRDefault="00000000">
            <w:pPr>
              <w:rPr>
                <w:sz w:val="18"/>
                <w:szCs w:val="18"/>
              </w:rPr>
            </w:pPr>
            <w:r>
              <w:rPr>
                <w:rFonts w:hint="eastAsia"/>
                <w:sz w:val="18"/>
                <w:szCs w:val="18"/>
              </w:rPr>
              <w:t>发生实验室人员职业暴露的次数</w:t>
            </w:r>
          </w:p>
        </w:tc>
        <w:tc>
          <w:tcPr>
            <w:tcW w:w="2126" w:type="dxa"/>
          </w:tcPr>
          <w:p w14:paraId="38045611" w14:textId="77777777" w:rsidR="00B37F7F" w:rsidRDefault="00000000">
            <w:pPr>
              <w:rPr>
                <w:sz w:val="18"/>
                <w:szCs w:val="18"/>
              </w:rPr>
            </w:pPr>
            <w:r>
              <w:rPr>
                <w:rFonts w:hint="eastAsia"/>
                <w:sz w:val="18"/>
                <w:szCs w:val="18"/>
              </w:rPr>
              <w:t>与实验室人员职业暴露有关，反映实验室生物安全的防控情况。</w:t>
            </w:r>
          </w:p>
        </w:tc>
        <w:tc>
          <w:tcPr>
            <w:tcW w:w="4460" w:type="dxa"/>
          </w:tcPr>
          <w:p w14:paraId="1966A4D7" w14:textId="77777777" w:rsidR="00B37F7F" w:rsidRDefault="00000000">
            <w:pPr>
              <w:rPr>
                <w:sz w:val="18"/>
                <w:szCs w:val="18"/>
              </w:rPr>
            </w:pPr>
            <w:r>
              <w:rPr>
                <w:rFonts w:hint="eastAsia"/>
                <w:sz w:val="18"/>
                <w:szCs w:val="18"/>
              </w:rPr>
              <w:t>职业暴露指实验室人员在从事献血者标本检测过程中接触有毒、有害物质，或传染病病原体，从而损害健康或危及生命的一类职业暴露。职业暴露，又分感染性职业暴露，放射性职业暴露，化学性（如消毒剂、某些化学药品）职业暴露，及其他职业暴露。该指标属于低优指标，指标值越低越好。</w:t>
            </w:r>
          </w:p>
        </w:tc>
      </w:tr>
    </w:tbl>
    <w:p w14:paraId="3E84D4D0" w14:textId="77777777" w:rsidR="00B37F7F" w:rsidRDefault="00B37F7F">
      <w:pPr>
        <w:jc w:val="center"/>
        <w:rPr>
          <w:rFonts w:asciiTheme="minorEastAsia" w:eastAsiaTheme="minorEastAsia" w:hAnsiTheme="minorEastAsia" w:cs="MS Mincho" w:hint="eastAsia"/>
        </w:rPr>
        <w:sectPr w:rsidR="00B37F7F">
          <w:pgSz w:w="16838" w:h="11906" w:orient="landscape"/>
          <w:pgMar w:top="1440" w:right="1800" w:bottom="1440" w:left="1800" w:header="850" w:footer="851" w:gutter="0"/>
          <w:cols w:space="425"/>
          <w:formProt w:val="0"/>
          <w:docGrid w:type="lines" w:linePitch="312"/>
        </w:sectPr>
      </w:pPr>
      <w:bookmarkStart w:id="45" w:name="_Toc488319567"/>
      <w:bookmarkStart w:id="46" w:name="_Toc488322468"/>
      <w:bookmarkStart w:id="47" w:name="_Toc488330695"/>
      <w:bookmarkStart w:id="48" w:name="BKCKWX"/>
      <w:bookmarkStart w:id="49" w:name="_Toc488313266"/>
      <w:bookmarkStart w:id="50" w:name="_Toc488313343"/>
      <w:bookmarkStart w:id="51" w:name="_Toc488319536"/>
      <w:bookmarkStart w:id="52" w:name="_Toc488405670"/>
      <w:bookmarkStart w:id="53" w:name="_Toc488330917"/>
      <w:bookmarkStart w:id="54" w:name="_Toc488570505"/>
    </w:p>
    <w:p w14:paraId="08E501EA" w14:textId="77777777" w:rsidR="00B37F7F" w:rsidRDefault="00000000">
      <w:pPr>
        <w:pStyle w:val="1"/>
        <w:jc w:val="center"/>
        <w:rPr>
          <w:rFonts w:hAnsi="黑体" w:hint="eastAsia"/>
          <w:sz w:val="32"/>
          <w:szCs w:val="32"/>
        </w:rPr>
      </w:pPr>
      <w:bookmarkStart w:id="55" w:name="_Toc175868215"/>
      <w:r>
        <w:rPr>
          <w:rFonts w:ascii="黑体" w:eastAsia="黑体" w:hAnsi="黑体" w:hint="eastAsia"/>
          <w:b w:val="0"/>
          <w:bCs w:val="0"/>
          <w:sz w:val="32"/>
          <w:szCs w:val="32"/>
        </w:rPr>
        <w:lastRenderedPageBreak/>
        <w:t>参 考</w:t>
      </w:r>
      <w:r>
        <w:rPr>
          <w:rFonts w:ascii="黑体" w:eastAsia="黑体" w:hAnsi="黑体"/>
          <w:b w:val="0"/>
          <w:bCs w:val="0"/>
          <w:sz w:val="32"/>
          <w:szCs w:val="32"/>
        </w:rPr>
        <w:t> </w:t>
      </w:r>
      <w:r>
        <w:rPr>
          <w:rFonts w:ascii="黑体" w:eastAsia="黑体" w:hAnsi="黑体" w:hint="eastAsia"/>
          <w:b w:val="0"/>
          <w:bCs w:val="0"/>
          <w:sz w:val="32"/>
          <w:szCs w:val="32"/>
        </w:rPr>
        <w:t>文</w:t>
      </w:r>
      <w:r>
        <w:rPr>
          <w:rFonts w:ascii="黑体" w:eastAsia="黑体" w:hAnsi="黑体"/>
          <w:b w:val="0"/>
          <w:bCs w:val="0"/>
          <w:sz w:val="32"/>
          <w:szCs w:val="32"/>
        </w:rPr>
        <w:t> </w:t>
      </w:r>
      <w:r>
        <w:rPr>
          <w:rFonts w:ascii="黑体" w:eastAsia="黑体" w:hAnsi="黑体" w:hint="eastAsia"/>
          <w:b w:val="0"/>
          <w:bCs w:val="0"/>
          <w:sz w:val="32"/>
          <w:szCs w:val="32"/>
        </w:rPr>
        <w:t>献</w:t>
      </w:r>
      <w:bookmarkEnd w:id="45"/>
      <w:bookmarkEnd w:id="46"/>
      <w:bookmarkEnd w:id="47"/>
      <w:bookmarkEnd w:id="48"/>
      <w:bookmarkEnd w:id="49"/>
      <w:bookmarkEnd w:id="50"/>
      <w:bookmarkEnd w:id="51"/>
      <w:bookmarkEnd w:id="52"/>
      <w:bookmarkEnd w:id="53"/>
      <w:bookmarkEnd w:id="54"/>
      <w:bookmarkEnd w:id="55"/>
    </w:p>
    <w:p w14:paraId="54871305" w14:textId="77777777" w:rsidR="00B37F7F" w:rsidRDefault="00000000">
      <w:pPr>
        <w:autoSpaceDE w:val="0"/>
        <w:autoSpaceDN w:val="0"/>
        <w:adjustRightInd w:val="0"/>
        <w:jc w:val="left"/>
        <w:rPr>
          <w:kern w:val="0"/>
          <w:sz w:val="18"/>
          <w:szCs w:val="18"/>
        </w:rPr>
      </w:pPr>
      <w:r>
        <w:rPr>
          <w:rFonts w:hint="eastAsia"/>
          <w:kern w:val="0"/>
          <w:sz w:val="18"/>
          <w:szCs w:val="18"/>
        </w:rPr>
        <w:t xml:space="preserve">[1] </w:t>
      </w:r>
      <w:r>
        <w:rPr>
          <w:rFonts w:hint="eastAsia"/>
          <w:kern w:val="0"/>
          <w:sz w:val="18"/>
          <w:szCs w:val="18"/>
        </w:rPr>
        <w:t>血站实验室质量管理管理规范（卫医发</w:t>
      </w:r>
      <w:r>
        <w:rPr>
          <w:rFonts w:hint="eastAsia"/>
          <w:kern w:val="0"/>
          <w:sz w:val="18"/>
          <w:szCs w:val="18"/>
        </w:rPr>
        <w:t>[2006]183</w:t>
      </w:r>
      <w:r>
        <w:rPr>
          <w:rFonts w:hint="eastAsia"/>
          <w:kern w:val="0"/>
          <w:sz w:val="18"/>
          <w:szCs w:val="18"/>
        </w:rPr>
        <w:t>号）</w:t>
      </w:r>
    </w:p>
    <w:p w14:paraId="5CF19CAD" w14:textId="77777777" w:rsidR="00B37F7F" w:rsidRDefault="00000000">
      <w:pPr>
        <w:autoSpaceDE w:val="0"/>
        <w:autoSpaceDN w:val="0"/>
        <w:adjustRightInd w:val="0"/>
        <w:jc w:val="left"/>
        <w:rPr>
          <w:kern w:val="0"/>
          <w:sz w:val="18"/>
          <w:szCs w:val="18"/>
        </w:rPr>
      </w:pPr>
      <w:r>
        <w:rPr>
          <w:rFonts w:hint="eastAsia"/>
          <w:kern w:val="0"/>
          <w:sz w:val="18"/>
          <w:szCs w:val="18"/>
        </w:rPr>
        <w:t xml:space="preserve">[2] </w:t>
      </w:r>
      <w:r>
        <w:rPr>
          <w:rFonts w:hint="eastAsia"/>
          <w:kern w:val="0"/>
          <w:sz w:val="18"/>
          <w:szCs w:val="18"/>
        </w:rPr>
        <w:t>血站技术操作规程（</w:t>
      </w:r>
      <w:r>
        <w:rPr>
          <w:rFonts w:hint="eastAsia"/>
          <w:kern w:val="0"/>
          <w:sz w:val="18"/>
          <w:szCs w:val="18"/>
        </w:rPr>
        <w:t>2019</w:t>
      </w:r>
      <w:r>
        <w:rPr>
          <w:rFonts w:hint="eastAsia"/>
          <w:kern w:val="0"/>
          <w:sz w:val="18"/>
          <w:szCs w:val="18"/>
        </w:rPr>
        <w:t>版）（国卫医函</w:t>
      </w:r>
      <w:r>
        <w:rPr>
          <w:rFonts w:hint="eastAsia"/>
          <w:kern w:val="0"/>
          <w:sz w:val="18"/>
          <w:szCs w:val="18"/>
        </w:rPr>
        <w:t>[2019]98</w:t>
      </w:r>
      <w:r>
        <w:rPr>
          <w:rFonts w:hint="eastAsia"/>
          <w:kern w:val="0"/>
          <w:sz w:val="18"/>
          <w:szCs w:val="18"/>
        </w:rPr>
        <w:t>号附件）</w:t>
      </w:r>
    </w:p>
    <w:p w14:paraId="3C148E56" w14:textId="77777777" w:rsidR="00B37F7F" w:rsidRDefault="00000000">
      <w:pPr>
        <w:autoSpaceDE w:val="0"/>
        <w:autoSpaceDN w:val="0"/>
        <w:adjustRightInd w:val="0"/>
        <w:jc w:val="left"/>
        <w:rPr>
          <w:kern w:val="0"/>
          <w:sz w:val="18"/>
          <w:szCs w:val="18"/>
        </w:rPr>
      </w:pPr>
      <w:r>
        <w:rPr>
          <w:rFonts w:hint="eastAsia"/>
          <w:kern w:val="0"/>
          <w:sz w:val="18"/>
          <w:szCs w:val="18"/>
        </w:rPr>
        <w:t xml:space="preserve">[3] GB 18469-2012 </w:t>
      </w:r>
      <w:r>
        <w:rPr>
          <w:rFonts w:hint="eastAsia"/>
          <w:kern w:val="0"/>
          <w:sz w:val="18"/>
          <w:szCs w:val="18"/>
        </w:rPr>
        <w:t>全血及成分血质量要求</w:t>
      </w:r>
      <w:r>
        <w:rPr>
          <w:rFonts w:hint="eastAsia"/>
          <w:kern w:val="0"/>
          <w:sz w:val="18"/>
          <w:szCs w:val="18"/>
        </w:rPr>
        <w:t xml:space="preserve"> </w:t>
      </w:r>
    </w:p>
    <w:p w14:paraId="7BA54BE3" w14:textId="77777777" w:rsidR="00B37F7F" w:rsidRDefault="00000000">
      <w:pPr>
        <w:autoSpaceDE w:val="0"/>
        <w:autoSpaceDN w:val="0"/>
        <w:adjustRightInd w:val="0"/>
        <w:jc w:val="left"/>
        <w:rPr>
          <w:kern w:val="0"/>
          <w:sz w:val="18"/>
          <w:szCs w:val="18"/>
        </w:rPr>
      </w:pPr>
      <w:r>
        <w:rPr>
          <w:rFonts w:hint="eastAsia"/>
          <w:kern w:val="0"/>
          <w:sz w:val="18"/>
          <w:szCs w:val="18"/>
        </w:rPr>
        <w:t xml:space="preserve">[4] WS/T 496-2017 </w:t>
      </w:r>
      <w:r>
        <w:rPr>
          <w:rFonts w:hint="eastAsia"/>
          <w:kern w:val="0"/>
          <w:sz w:val="18"/>
          <w:szCs w:val="18"/>
        </w:rPr>
        <w:t>临床实验室质量指标</w:t>
      </w:r>
    </w:p>
    <w:p w14:paraId="0F5D2AB8" w14:textId="77777777" w:rsidR="00B37F7F" w:rsidRDefault="00000000">
      <w:pPr>
        <w:autoSpaceDE w:val="0"/>
        <w:autoSpaceDN w:val="0"/>
        <w:adjustRightInd w:val="0"/>
        <w:ind w:left="360" w:hangingChars="200" w:hanging="360"/>
        <w:jc w:val="left"/>
        <w:rPr>
          <w:kern w:val="0"/>
          <w:sz w:val="18"/>
          <w:szCs w:val="18"/>
        </w:rPr>
      </w:pPr>
      <w:r>
        <w:rPr>
          <w:rFonts w:hint="eastAsia"/>
          <w:kern w:val="0"/>
          <w:sz w:val="18"/>
          <w:szCs w:val="18"/>
        </w:rPr>
        <w:t xml:space="preserve">[5] </w:t>
      </w:r>
      <w:r>
        <w:rPr>
          <w:kern w:val="0"/>
          <w:sz w:val="18"/>
          <w:szCs w:val="18"/>
        </w:rPr>
        <w:t>CLSI. Developing and Using Quality Indicators for Laboratory Improvement. 2nd ed. CLSI guideline QMS12. Wayne, PA: Clinical and Laboratory Standards Institute; 2019.</w:t>
      </w:r>
    </w:p>
    <w:bookmarkEnd w:id="8"/>
    <w:bookmarkEnd w:id="18"/>
    <w:p w14:paraId="043C9403" w14:textId="77777777" w:rsidR="00B37F7F" w:rsidRDefault="00B37F7F">
      <w:pPr>
        <w:jc w:val="right"/>
      </w:pPr>
    </w:p>
    <w:sectPr w:rsidR="00B37F7F">
      <w:headerReference w:type="first" r:id="rId19"/>
      <w:pgSz w:w="11906" w:h="16838"/>
      <w:pgMar w:top="1440" w:right="1800" w:bottom="1440" w:left="1800" w:header="850" w:footer="850" w:gutter="0"/>
      <w:cols w:space="425"/>
      <w:formProt w:val="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6710C" w14:textId="77777777" w:rsidR="008E50D4" w:rsidRDefault="008E50D4">
      <w:r>
        <w:separator/>
      </w:r>
    </w:p>
  </w:endnote>
  <w:endnote w:type="continuationSeparator" w:id="0">
    <w:p w14:paraId="7792EF6F" w14:textId="77777777" w:rsidR="008E50D4" w:rsidRDefault="008E5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50416" w14:textId="77777777" w:rsidR="00B37F7F" w:rsidRDefault="00B37F7F">
    <w:pPr>
      <w:pStyle w:val="affa"/>
      <w:wordWrap w:val="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41D8D" w14:textId="77777777" w:rsidR="00B37F7F" w:rsidRDefault="00000000">
    <w:pPr>
      <w:pStyle w:val="affa"/>
      <w:wordWrap w:val="0"/>
    </w:pPr>
    <w:r>
      <w:rPr>
        <w:rFonts w:hint="eastAsia"/>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2298269"/>
      <w:docPartObj>
        <w:docPartGallery w:val="AutoText"/>
      </w:docPartObj>
    </w:sdtPr>
    <w:sdtContent>
      <w:p w14:paraId="7C14A859" w14:textId="77777777" w:rsidR="00B37F7F" w:rsidRDefault="00000000">
        <w:pPr>
          <w:pStyle w:val="affa"/>
        </w:pPr>
        <w:r>
          <w:fldChar w:fldCharType="begin"/>
        </w:r>
        <w:r>
          <w:instrText>PAGE   \* MERGEFORMAT</w:instrText>
        </w:r>
        <w:r>
          <w:fldChar w:fldCharType="separate"/>
        </w:r>
        <w:r>
          <w:rPr>
            <w:lang w:val="zh-CN"/>
          </w:rP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0467378"/>
      <w:docPartObj>
        <w:docPartGallery w:val="AutoText"/>
      </w:docPartObj>
    </w:sdtPr>
    <w:sdtContent>
      <w:p w14:paraId="149F338D" w14:textId="77777777" w:rsidR="00B37F7F" w:rsidRDefault="00000000">
        <w:pPr>
          <w:pStyle w:val="affa"/>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33BAB" w14:textId="77777777" w:rsidR="008E50D4" w:rsidRDefault="008E50D4">
      <w:r>
        <w:separator/>
      </w:r>
    </w:p>
  </w:footnote>
  <w:footnote w:type="continuationSeparator" w:id="0">
    <w:p w14:paraId="1BC93A59" w14:textId="77777777" w:rsidR="008E50D4" w:rsidRDefault="008E5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36D93" w14:textId="77777777" w:rsidR="00B37F7F" w:rsidRDefault="00B37F7F">
    <w:pPr>
      <w:pStyle w:val="affc"/>
      <w:wordWrap w:val="0"/>
      <w:jc w:val="right"/>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8460D" w14:textId="77777777" w:rsidR="00B37F7F" w:rsidRDefault="00000000">
    <w:pPr>
      <w:pStyle w:val="affc"/>
      <w:wordWrap w:val="0"/>
      <w:jc w:val="right"/>
      <w:rPr>
        <w:sz w:val="21"/>
        <w:szCs w:val="21"/>
      </w:rPr>
    </w:pPr>
    <w:r>
      <w:rPr>
        <w:rFonts w:hint="eastAsia"/>
        <w:sz w:val="21"/>
        <w:szCs w:val="21"/>
      </w:rPr>
      <w:t>T/CSBT 004-2024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443A0" w14:textId="77777777" w:rsidR="00B37F7F" w:rsidRDefault="00000000">
    <w:pPr>
      <w:pStyle w:val="affc"/>
      <w:wordWrap w:val="0"/>
      <w:jc w:val="right"/>
      <w:rPr>
        <w:sz w:val="21"/>
        <w:szCs w:val="21"/>
      </w:rPr>
    </w:pPr>
    <w:r>
      <w:rPr>
        <w:rFonts w:hint="eastAsia"/>
        <w:sz w:val="21"/>
        <w:szCs w:val="21"/>
      </w:rPr>
      <w:t>T/CSBT 004-2024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30646" w14:textId="77777777" w:rsidR="00B37F7F" w:rsidRDefault="00000000">
    <w:pPr>
      <w:pStyle w:val="affc"/>
      <w:wordWrap w:val="0"/>
      <w:jc w:val="right"/>
      <w:rPr>
        <w:sz w:val="21"/>
        <w:szCs w:val="21"/>
      </w:rPr>
    </w:pPr>
    <w:r>
      <w:rPr>
        <w:rFonts w:hint="eastAsia"/>
        <w:sz w:val="21"/>
        <w:szCs w:val="21"/>
      </w:rPr>
      <w:t>T/CSBT 004-2024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436FB" w14:textId="77777777" w:rsidR="00B37F7F" w:rsidRDefault="00000000">
    <w:pPr>
      <w:pStyle w:val="affc"/>
      <w:wordWrap w:val="0"/>
      <w:jc w:val="right"/>
      <w:rPr>
        <w:sz w:val="21"/>
        <w:szCs w:val="21"/>
      </w:rPr>
    </w:pPr>
    <w:r>
      <w:rPr>
        <w:rFonts w:hint="eastAsia"/>
        <w:sz w:val="21"/>
        <w:szCs w:val="21"/>
      </w:rPr>
      <w:t>T/CSBT 004-2024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B2D08" w14:textId="77777777" w:rsidR="00B37F7F" w:rsidRDefault="00000000">
    <w:pPr>
      <w:pStyle w:val="affc"/>
      <w:wordWrap w:val="0"/>
      <w:jc w:val="right"/>
      <w:rPr>
        <w:sz w:val="21"/>
        <w:szCs w:val="21"/>
      </w:rPr>
    </w:pPr>
    <w:r>
      <w:rPr>
        <w:rFonts w:hint="eastAsia"/>
        <w:sz w:val="21"/>
        <w:szCs w:val="21"/>
      </w:rPr>
      <w:t>T/CSBT 004-2024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AE367E9"/>
    <w:multiLevelType w:val="multilevel"/>
    <w:tmpl w:val="0AE367E9"/>
    <w:lvl w:ilvl="0">
      <w:start w:val="1"/>
      <w:numFmt w:val="none"/>
      <w:pStyle w:val="a0"/>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 w15:restartNumberingAfterBreak="0">
    <w:nsid w:val="0D983844"/>
    <w:multiLevelType w:val="multilevel"/>
    <w:tmpl w:val="0D983844"/>
    <w:lvl w:ilvl="0">
      <w:start w:val="1"/>
      <w:numFmt w:val="decimal"/>
      <w:pStyle w:val="a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1DBF583A"/>
    <w:multiLevelType w:val="multilevel"/>
    <w:tmpl w:val="1DBF583A"/>
    <w:lvl w:ilvl="0">
      <w:start w:val="1"/>
      <w:numFmt w:val="decimal"/>
      <w:pStyle w:val="a2"/>
      <w:suff w:val="nothing"/>
      <w:lvlText w:val="注%1："/>
      <w:lvlJc w:val="left"/>
      <w:pPr>
        <w:ind w:left="1015" w:hanging="448"/>
      </w:pPr>
      <w:rPr>
        <w:rFonts w:ascii="宋体" w:eastAsia="宋体" w:hAnsi="宋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3"/>
      <w:suff w:val="nothing"/>
      <w:lvlText w:val="%1　"/>
      <w:lvlJc w:val="left"/>
      <w:pPr>
        <w:ind w:left="2410" w:firstLine="0"/>
      </w:pPr>
      <w:rPr>
        <w:rFonts w:ascii="黑体" w:eastAsia="黑体" w:hAnsi="Times New Roman" w:hint="eastAsia"/>
        <w:b w:val="0"/>
        <w:i w:val="0"/>
        <w:sz w:val="21"/>
        <w:szCs w:val="21"/>
      </w:rPr>
    </w:lvl>
    <w:lvl w:ilvl="1">
      <w:start w:val="1"/>
      <w:numFmt w:val="decimal"/>
      <w:pStyle w:val="a4"/>
      <w:suff w:val="nothing"/>
      <w:lvlText w:val="%1.%2　"/>
      <w:lvlJc w:val="left"/>
      <w:pPr>
        <w:ind w:left="170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5"/>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2827D5B"/>
    <w:multiLevelType w:val="multilevel"/>
    <w:tmpl w:val="22827D5B"/>
    <w:lvl w:ilvl="0">
      <w:start w:val="1"/>
      <w:numFmt w:val="none"/>
      <w:pStyle w:val="a8"/>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6" w15:restartNumberingAfterBreak="0">
    <w:nsid w:val="24743590"/>
    <w:multiLevelType w:val="multilevel"/>
    <w:tmpl w:val="24743590"/>
    <w:lvl w:ilvl="0">
      <w:start w:val="4"/>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15:restartNumberingAfterBreak="0">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15:restartNumberingAfterBreak="0">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0" w15:restartNumberingAfterBreak="0">
    <w:nsid w:val="41B215D1"/>
    <w:multiLevelType w:val="multilevel"/>
    <w:tmpl w:val="41B215D1"/>
    <w:lvl w:ilvl="0">
      <w:start w:val="5"/>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1" w15:restartNumberingAfterBreak="0">
    <w:nsid w:val="44C50F90"/>
    <w:multiLevelType w:val="multilevel"/>
    <w:tmpl w:val="44C50F90"/>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B733A5F"/>
    <w:multiLevelType w:val="multilevel"/>
    <w:tmpl w:val="4B733A5F"/>
    <w:lvl w:ilvl="0">
      <w:start w:val="1"/>
      <w:numFmt w:val="decimal"/>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60B55DC2"/>
    <w:multiLevelType w:val="multilevel"/>
    <w:tmpl w:val="60B55DC2"/>
    <w:lvl w:ilvl="0">
      <w:start w:val="1"/>
      <w:numFmt w:val="upperLetter"/>
      <w:pStyle w:val="af2"/>
      <w:lvlText w:val="%1"/>
      <w:lvlJc w:val="left"/>
      <w:pPr>
        <w:tabs>
          <w:tab w:val="left"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15:restartNumberingAfterBreak="0">
    <w:nsid w:val="646260FA"/>
    <w:multiLevelType w:val="multilevel"/>
    <w:tmpl w:val="646260FA"/>
    <w:lvl w:ilvl="0">
      <w:start w:val="1"/>
      <w:numFmt w:val="decimal"/>
      <w:pStyle w:val="af4"/>
      <w:suff w:val="nothing"/>
      <w:lvlText w:val="表%1　"/>
      <w:lvlJc w:val="left"/>
      <w:pPr>
        <w:ind w:left="6096"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4875831"/>
    <w:multiLevelType w:val="multilevel"/>
    <w:tmpl w:val="64875831"/>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6" w15:restartNumberingAfterBreak="0">
    <w:nsid w:val="657D3FBC"/>
    <w:multiLevelType w:val="multilevel"/>
    <w:tmpl w:val="657D3FBC"/>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D6C07CD"/>
    <w:multiLevelType w:val="multilevel"/>
    <w:tmpl w:val="6D6C07CD"/>
    <w:lvl w:ilvl="0">
      <w:start w:val="1"/>
      <w:numFmt w:val="lowerLetter"/>
      <w:pStyle w:val="afc"/>
      <w:lvlText w:val="%1)"/>
      <w:lvlJc w:val="left"/>
      <w:pPr>
        <w:tabs>
          <w:tab w:val="left" w:pos="839"/>
        </w:tabs>
        <w:ind w:left="839" w:hanging="419"/>
      </w:pPr>
      <w:rPr>
        <w:rFonts w:ascii="宋体" w:eastAsia="宋体" w:hint="eastAsia"/>
        <w:b w:val="0"/>
        <w:i w:val="0"/>
        <w:sz w:val="21"/>
      </w:rPr>
    </w:lvl>
    <w:lvl w:ilvl="1">
      <w:start w:val="1"/>
      <w:numFmt w:val="decimal"/>
      <w:pStyle w:val="afd"/>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15:restartNumberingAfterBreak="0">
    <w:nsid w:val="6DBF04F4"/>
    <w:multiLevelType w:val="multilevel"/>
    <w:tmpl w:val="6DBF04F4"/>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601300443">
    <w:abstractNumId w:val="9"/>
  </w:num>
  <w:num w:numId="2" w16cid:durableId="720977710">
    <w:abstractNumId w:val="4"/>
  </w:num>
  <w:num w:numId="3" w16cid:durableId="160776355">
    <w:abstractNumId w:val="8"/>
  </w:num>
  <w:num w:numId="4" w16cid:durableId="1730376080">
    <w:abstractNumId w:val="1"/>
  </w:num>
  <w:num w:numId="5" w16cid:durableId="1973708337">
    <w:abstractNumId w:val="11"/>
  </w:num>
  <w:num w:numId="6" w16cid:durableId="1179075454">
    <w:abstractNumId w:val="18"/>
  </w:num>
  <w:num w:numId="7" w16cid:durableId="1191527092">
    <w:abstractNumId w:val="0"/>
  </w:num>
  <w:num w:numId="8" w16cid:durableId="116071624">
    <w:abstractNumId w:val="12"/>
  </w:num>
  <w:num w:numId="9" w16cid:durableId="612639929">
    <w:abstractNumId w:val="5"/>
  </w:num>
  <w:num w:numId="10" w16cid:durableId="1524057291">
    <w:abstractNumId w:val="3"/>
  </w:num>
  <w:num w:numId="11" w16cid:durableId="1515269304">
    <w:abstractNumId w:val="16"/>
  </w:num>
  <w:num w:numId="12" w16cid:durableId="1496412079">
    <w:abstractNumId w:val="13"/>
  </w:num>
  <w:num w:numId="13" w16cid:durableId="176314188">
    <w:abstractNumId w:val="17"/>
  </w:num>
  <w:num w:numId="14" w16cid:durableId="1222474141">
    <w:abstractNumId w:val="7"/>
  </w:num>
  <w:num w:numId="15" w16cid:durableId="876116648">
    <w:abstractNumId w:val="14"/>
  </w:num>
  <w:num w:numId="16" w16cid:durableId="1547791230">
    <w:abstractNumId w:val="2"/>
  </w:num>
  <w:num w:numId="17" w16cid:durableId="331110585">
    <w:abstractNumId w:val="15"/>
  </w:num>
  <w:num w:numId="18" w16cid:durableId="1617521164">
    <w:abstractNumId w:val="6"/>
  </w:num>
  <w:num w:numId="19" w16cid:durableId="382217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IwNjEwOGNkMTUxOGVlYmJhYmIwYmRlNjAxZWZmZDYifQ=="/>
  </w:docVars>
  <w:rsids>
    <w:rsidRoot w:val="00035925"/>
    <w:rsid w:val="00000244"/>
    <w:rsid w:val="0000185F"/>
    <w:rsid w:val="00002A9C"/>
    <w:rsid w:val="0000586F"/>
    <w:rsid w:val="0000587A"/>
    <w:rsid w:val="00013001"/>
    <w:rsid w:val="00013D86"/>
    <w:rsid w:val="00013E02"/>
    <w:rsid w:val="00016673"/>
    <w:rsid w:val="0002143C"/>
    <w:rsid w:val="00022539"/>
    <w:rsid w:val="00025A65"/>
    <w:rsid w:val="00026C31"/>
    <w:rsid w:val="00026F9B"/>
    <w:rsid w:val="00027280"/>
    <w:rsid w:val="000273D7"/>
    <w:rsid w:val="00027A38"/>
    <w:rsid w:val="00031367"/>
    <w:rsid w:val="000320A7"/>
    <w:rsid w:val="00035925"/>
    <w:rsid w:val="000360BE"/>
    <w:rsid w:val="000413BE"/>
    <w:rsid w:val="000433A7"/>
    <w:rsid w:val="00045325"/>
    <w:rsid w:val="00046971"/>
    <w:rsid w:val="0005139A"/>
    <w:rsid w:val="00051539"/>
    <w:rsid w:val="00053164"/>
    <w:rsid w:val="000622D8"/>
    <w:rsid w:val="00062951"/>
    <w:rsid w:val="00063145"/>
    <w:rsid w:val="0006415A"/>
    <w:rsid w:val="00066A12"/>
    <w:rsid w:val="00066E51"/>
    <w:rsid w:val="00067CDF"/>
    <w:rsid w:val="000729FA"/>
    <w:rsid w:val="000749E3"/>
    <w:rsid w:val="00074FBE"/>
    <w:rsid w:val="0008063F"/>
    <w:rsid w:val="000806CB"/>
    <w:rsid w:val="00083A09"/>
    <w:rsid w:val="0008508E"/>
    <w:rsid w:val="0009005E"/>
    <w:rsid w:val="000910A8"/>
    <w:rsid w:val="00092857"/>
    <w:rsid w:val="0009617B"/>
    <w:rsid w:val="000A20A9"/>
    <w:rsid w:val="000A27B8"/>
    <w:rsid w:val="000A2B5E"/>
    <w:rsid w:val="000A3E8A"/>
    <w:rsid w:val="000A48B1"/>
    <w:rsid w:val="000A582A"/>
    <w:rsid w:val="000A5E1F"/>
    <w:rsid w:val="000A6663"/>
    <w:rsid w:val="000A7F6C"/>
    <w:rsid w:val="000A7FFD"/>
    <w:rsid w:val="000B2399"/>
    <w:rsid w:val="000B3143"/>
    <w:rsid w:val="000B42A8"/>
    <w:rsid w:val="000C5F20"/>
    <w:rsid w:val="000C6007"/>
    <w:rsid w:val="000C6389"/>
    <w:rsid w:val="000C6B05"/>
    <w:rsid w:val="000C6DD6"/>
    <w:rsid w:val="000C73D4"/>
    <w:rsid w:val="000D2C3D"/>
    <w:rsid w:val="000D2CF3"/>
    <w:rsid w:val="000D3D4C"/>
    <w:rsid w:val="000D4F51"/>
    <w:rsid w:val="000D50B8"/>
    <w:rsid w:val="000D64C3"/>
    <w:rsid w:val="000D718B"/>
    <w:rsid w:val="000D766E"/>
    <w:rsid w:val="000E0368"/>
    <w:rsid w:val="000E0C46"/>
    <w:rsid w:val="000E0D98"/>
    <w:rsid w:val="000E134D"/>
    <w:rsid w:val="000E2F57"/>
    <w:rsid w:val="000E3001"/>
    <w:rsid w:val="000E3EAA"/>
    <w:rsid w:val="000E76BD"/>
    <w:rsid w:val="000F030C"/>
    <w:rsid w:val="000F1198"/>
    <w:rsid w:val="000F129C"/>
    <w:rsid w:val="0010197D"/>
    <w:rsid w:val="00103172"/>
    <w:rsid w:val="00104981"/>
    <w:rsid w:val="001056DE"/>
    <w:rsid w:val="00110639"/>
    <w:rsid w:val="001124C0"/>
    <w:rsid w:val="00114555"/>
    <w:rsid w:val="00121EAE"/>
    <w:rsid w:val="00123FAB"/>
    <w:rsid w:val="00124CFC"/>
    <w:rsid w:val="0012658E"/>
    <w:rsid w:val="001267DF"/>
    <w:rsid w:val="0013175F"/>
    <w:rsid w:val="001319EA"/>
    <w:rsid w:val="00136A10"/>
    <w:rsid w:val="00137264"/>
    <w:rsid w:val="00140427"/>
    <w:rsid w:val="001430BE"/>
    <w:rsid w:val="0014576C"/>
    <w:rsid w:val="00145FA9"/>
    <w:rsid w:val="00147F68"/>
    <w:rsid w:val="001512B4"/>
    <w:rsid w:val="00153FAA"/>
    <w:rsid w:val="00154719"/>
    <w:rsid w:val="001620A5"/>
    <w:rsid w:val="00164E53"/>
    <w:rsid w:val="0016581D"/>
    <w:rsid w:val="00166747"/>
    <w:rsid w:val="0016699D"/>
    <w:rsid w:val="00170178"/>
    <w:rsid w:val="00172900"/>
    <w:rsid w:val="001736BD"/>
    <w:rsid w:val="001741A2"/>
    <w:rsid w:val="00175159"/>
    <w:rsid w:val="00176208"/>
    <w:rsid w:val="00177613"/>
    <w:rsid w:val="00177653"/>
    <w:rsid w:val="0018155E"/>
    <w:rsid w:val="0018211B"/>
    <w:rsid w:val="001826EC"/>
    <w:rsid w:val="001838F6"/>
    <w:rsid w:val="001839A1"/>
    <w:rsid w:val="001840D3"/>
    <w:rsid w:val="00186989"/>
    <w:rsid w:val="001900F8"/>
    <w:rsid w:val="00190F4B"/>
    <w:rsid w:val="00191258"/>
    <w:rsid w:val="00192361"/>
    <w:rsid w:val="00192680"/>
    <w:rsid w:val="00193037"/>
    <w:rsid w:val="00193543"/>
    <w:rsid w:val="00193A2C"/>
    <w:rsid w:val="00193DEE"/>
    <w:rsid w:val="00194B7B"/>
    <w:rsid w:val="00194B9D"/>
    <w:rsid w:val="00195AF8"/>
    <w:rsid w:val="00196C09"/>
    <w:rsid w:val="0019794F"/>
    <w:rsid w:val="001A17AD"/>
    <w:rsid w:val="001A22DA"/>
    <w:rsid w:val="001A288E"/>
    <w:rsid w:val="001A3DB5"/>
    <w:rsid w:val="001A421F"/>
    <w:rsid w:val="001A6C56"/>
    <w:rsid w:val="001B028B"/>
    <w:rsid w:val="001B1983"/>
    <w:rsid w:val="001B6B50"/>
    <w:rsid w:val="001B6DC2"/>
    <w:rsid w:val="001C1367"/>
    <w:rsid w:val="001C149C"/>
    <w:rsid w:val="001C21AC"/>
    <w:rsid w:val="001C2458"/>
    <w:rsid w:val="001C25F2"/>
    <w:rsid w:val="001C47BA"/>
    <w:rsid w:val="001C59EA"/>
    <w:rsid w:val="001D15CA"/>
    <w:rsid w:val="001D161B"/>
    <w:rsid w:val="001D406C"/>
    <w:rsid w:val="001D41EE"/>
    <w:rsid w:val="001D44E7"/>
    <w:rsid w:val="001D7386"/>
    <w:rsid w:val="001E0380"/>
    <w:rsid w:val="001E13B1"/>
    <w:rsid w:val="001E1A96"/>
    <w:rsid w:val="001E5E44"/>
    <w:rsid w:val="001E624B"/>
    <w:rsid w:val="001F17A8"/>
    <w:rsid w:val="001F18E6"/>
    <w:rsid w:val="001F22C1"/>
    <w:rsid w:val="001F3A19"/>
    <w:rsid w:val="001F3C72"/>
    <w:rsid w:val="001F52BD"/>
    <w:rsid w:val="001F5B83"/>
    <w:rsid w:val="001F665A"/>
    <w:rsid w:val="001F697A"/>
    <w:rsid w:val="00200585"/>
    <w:rsid w:val="002026BD"/>
    <w:rsid w:val="0020297B"/>
    <w:rsid w:val="00203D2A"/>
    <w:rsid w:val="00204CAB"/>
    <w:rsid w:val="00205796"/>
    <w:rsid w:val="00205D81"/>
    <w:rsid w:val="00210106"/>
    <w:rsid w:val="00211618"/>
    <w:rsid w:val="002129FE"/>
    <w:rsid w:val="00217BE0"/>
    <w:rsid w:val="00224512"/>
    <w:rsid w:val="0022505D"/>
    <w:rsid w:val="002331D6"/>
    <w:rsid w:val="00233A13"/>
    <w:rsid w:val="00234422"/>
    <w:rsid w:val="00234467"/>
    <w:rsid w:val="00234D0E"/>
    <w:rsid w:val="002363A9"/>
    <w:rsid w:val="00237D8D"/>
    <w:rsid w:val="00241418"/>
    <w:rsid w:val="00241DA2"/>
    <w:rsid w:val="002447B6"/>
    <w:rsid w:val="00245343"/>
    <w:rsid w:val="00247FEE"/>
    <w:rsid w:val="00250C29"/>
    <w:rsid w:val="00250E7D"/>
    <w:rsid w:val="0025102F"/>
    <w:rsid w:val="0025315E"/>
    <w:rsid w:val="002537F9"/>
    <w:rsid w:val="00253D35"/>
    <w:rsid w:val="00255993"/>
    <w:rsid w:val="002565D5"/>
    <w:rsid w:val="002622C0"/>
    <w:rsid w:val="002630E3"/>
    <w:rsid w:val="00270BFB"/>
    <w:rsid w:val="0027114C"/>
    <w:rsid w:val="00272629"/>
    <w:rsid w:val="00275A0A"/>
    <w:rsid w:val="002778AE"/>
    <w:rsid w:val="00280429"/>
    <w:rsid w:val="00280E61"/>
    <w:rsid w:val="0028269A"/>
    <w:rsid w:val="00283459"/>
    <w:rsid w:val="00283590"/>
    <w:rsid w:val="00286973"/>
    <w:rsid w:val="0028703F"/>
    <w:rsid w:val="002903F0"/>
    <w:rsid w:val="00290849"/>
    <w:rsid w:val="00291CCE"/>
    <w:rsid w:val="002949AD"/>
    <w:rsid w:val="00294E70"/>
    <w:rsid w:val="0029671A"/>
    <w:rsid w:val="002A009C"/>
    <w:rsid w:val="002A1924"/>
    <w:rsid w:val="002A259C"/>
    <w:rsid w:val="002A3607"/>
    <w:rsid w:val="002A38B2"/>
    <w:rsid w:val="002A7420"/>
    <w:rsid w:val="002A7595"/>
    <w:rsid w:val="002B0F12"/>
    <w:rsid w:val="002B1308"/>
    <w:rsid w:val="002B1D36"/>
    <w:rsid w:val="002B4554"/>
    <w:rsid w:val="002C3FB0"/>
    <w:rsid w:val="002C72D8"/>
    <w:rsid w:val="002C7B4D"/>
    <w:rsid w:val="002D051D"/>
    <w:rsid w:val="002D11FA"/>
    <w:rsid w:val="002D2DFC"/>
    <w:rsid w:val="002E0DDF"/>
    <w:rsid w:val="002E2214"/>
    <w:rsid w:val="002E2906"/>
    <w:rsid w:val="002E363B"/>
    <w:rsid w:val="002E43CD"/>
    <w:rsid w:val="002E5635"/>
    <w:rsid w:val="002E6313"/>
    <w:rsid w:val="002E64C3"/>
    <w:rsid w:val="002E64EF"/>
    <w:rsid w:val="002E6A2C"/>
    <w:rsid w:val="002E6B2B"/>
    <w:rsid w:val="002F1D8C"/>
    <w:rsid w:val="002F2127"/>
    <w:rsid w:val="002F21DA"/>
    <w:rsid w:val="002F3F9D"/>
    <w:rsid w:val="002F4E34"/>
    <w:rsid w:val="002F7613"/>
    <w:rsid w:val="00300759"/>
    <w:rsid w:val="00301F39"/>
    <w:rsid w:val="003023BF"/>
    <w:rsid w:val="00304B7C"/>
    <w:rsid w:val="00306CB5"/>
    <w:rsid w:val="00306E58"/>
    <w:rsid w:val="003100BC"/>
    <w:rsid w:val="00314149"/>
    <w:rsid w:val="00317A77"/>
    <w:rsid w:val="00320159"/>
    <w:rsid w:val="003201ED"/>
    <w:rsid w:val="00322972"/>
    <w:rsid w:val="003236FF"/>
    <w:rsid w:val="003241C9"/>
    <w:rsid w:val="00325926"/>
    <w:rsid w:val="003268C2"/>
    <w:rsid w:val="00327A8A"/>
    <w:rsid w:val="00332F27"/>
    <w:rsid w:val="00335C25"/>
    <w:rsid w:val="00336610"/>
    <w:rsid w:val="003375C0"/>
    <w:rsid w:val="00337B8A"/>
    <w:rsid w:val="00343F73"/>
    <w:rsid w:val="00345060"/>
    <w:rsid w:val="00347E8F"/>
    <w:rsid w:val="003526DC"/>
    <w:rsid w:val="0035323B"/>
    <w:rsid w:val="00354D60"/>
    <w:rsid w:val="003553BC"/>
    <w:rsid w:val="00355489"/>
    <w:rsid w:val="0035656F"/>
    <w:rsid w:val="0035689C"/>
    <w:rsid w:val="003609D2"/>
    <w:rsid w:val="003617CB"/>
    <w:rsid w:val="00361E54"/>
    <w:rsid w:val="00362AA4"/>
    <w:rsid w:val="0036344D"/>
    <w:rsid w:val="00363F22"/>
    <w:rsid w:val="003641BB"/>
    <w:rsid w:val="00364997"/>
    <w:rsid w:val="00364E3C"/>
    <w:rsid w:val="00365FB5"/>
    <w:rsid w:val="003667D8"/>
    <w:rsid w:val="0036738D"/>
    <w:rsid w:val="00370A79"/>
    <w:rsid w:val="003730C6"/>
    <w:rsid w:val="00374F3E"/>
    <w:rsid w:val="00375564"/>
    <w:rsid w:val="00376304"/>
    <w:rsid w:val="00377666"/>
    <w:rsid w:val="00380430"/>
    <w:rsid w:val="00380EE0"/>
    <w:rsid w:val="00383191"/>
    <w:rsid w:val="003854F0"/>
    <w:rsid w:val="00386DED"/>
    <w:rsid w:val="00387641"/>
    <w:rsid w:val="003912E7"/>
    <w:rsid w:val="00391E4E"/>
    <w:rsid w:val="00392336"/>
    <w:rsid w:val="0039256B"/>
    <w:rsid w:val="00393947"/>
    <w:rsid w:val="00394315"/>
    <w:rsid w:val="00394EC3"/>
    <w:rsid w:val="00396BCE"/>
    <w:rsid w:val="003A2275"/>
    <w:rsid w:val="003A4B61"/>
    <w:rsid w:val="003A4D07"/>
    <w:rsid w:val="003A6504"/>
    <w:rsid w:val="003A6A4F"/>
    <w:rsid w:val="003A7088"/>
    <w:rsid w:val="003A7816"/>
    <w:rsid w:val="003B00DF"/>
    <w:rsid w:val="003B100C"/>
    <w:rsid w:val="003B1275"/>
    <w:rsid w:val="003B1778"/>
    <w:rsid w:val="003B177C"/>
    <w:rsid w:val="003B25A1"/>
    <w:rsid w:val="003B3B36"/>
    <w:rsid w:val="003B3DEB"/>
    <w:rsid w:val="003B5159"/>
    <w:rsid w:val="003B5D7C"/>
    <w:rsid w:val="003B6868"/>
    <w:rsid w:val="003B7252"/>
    <w:rsid w:val="003C11CB"/>
    <w:rsid w:val="003C2040"/>
    <w:rsid w:val="003C2B73"/>
    <w:rsid w:val="003C75F3"/>
    <w:rsid w:val="003C78A3"/>
    <w:rsid w:val="003D1963"/>
    <w:rsid w:val="003D349A"/>
    <w:rsid w:val="003D44F7"/>
    <w:rsid w:val="003D51DE"/>
    <w:rsid w:val="003D782B"/>
    <w:rsid w:val="003E1867"/>
    <w:rsid w:val="003E1C7A"/>
    <w:rsid w:val="003E4225"/>
    <w:rsid w:val="003E4353"/>
    <w:rsid w:val="003E5729"/>
    <w:rsid w:val="003E6222"/>
    <w:rsid w:val="003F228B"/>
    <w:rsid w:val="003F3AEE"/>
    <w:rsid w:val="003F4EE0"/>
    <w:rsid w:val="003F5A6C"/>
    <w:rsid w:val="003F5B76"/>
    <w:rsid w:val="003F6AAB"/>
    <w:rsid w:val="0040057C"/>
    <w:rsid w:val="00402153"/>
    <w:rsid w:val="00402FC1"/>
    <w:rsid w:val="00402FDB"/>
    <w:rsid w:val="00404DBB"/>
    <w:rsid w:val="004107D1"/>
    <w:rsid w:val="004119FA"/>
    <w:rsid w:val="00412369"/>
    <w:rsid w:val="00413F3B"/>
    <w:rsid w:val="00416B54"/>
    <w:rsid w:val="0041712B"/>
    <w:rsid w:val="00417BA6"/>
    <w:rsid w:val="00421780"/>
    <w:rsid w:val="00423124"/>
    <w:rsid w:val="00424032"/>
    <w:rsid w:val="0042415B"/>
    <w:rsid w:val="00425082"/>
    <w:rsid w:val="004253E9"/>
    <w:rsid w:val="0043009D"/>
    <w:rsid w:val="004313C1"/>
    <w:rsid w:val="00431DEB"/>
    <w:rsid w:val="00432957"/>
    <w:rsid w:val="004330C6"/>
    <w:rsid w:val="0043557C"/>
    <w:rsid w:val="00436E40"/>
    <w:rsid w:val="004370F4"/>
    <w:rsid w:val="0044251B"/>
    <w:rsid w:val="00446B29"/>
    <w:rsid w:val="00447C75"/>
    <w:rsid w:val="00451EA5"/>
    <w:rsid w:val="0045276E"/>
    <w:rsid w:val="00452EA5"/>
    <w:rsid w:val="00453F9A"/>
    <w:rsid w:val="004552FF"/>
    <w:rsid w:val="004560EA"/>
    <w:rsid w:val="0046164F"/>
    <w:rsid w:val="0046205C"/>
    <w:rsid w:val="0046220B"/>
    <w:rsid w:val="00462A45"/>
    <w:rsid w:val="00463DC6"/>
    <w:rsid w:val="00465DBB"/>
    <w:rsid w:val="00471E91"/>
    <w:rsid w:val="00474675"/>
    <w:rsid w:val="0047470C"/>
    <w:rsid w:val="004748C1"/>
    <w:rsid w:val="00475A0C"/>
    <w:rsid w:val="0047741C"/>
    <w:rsid w:val="00483E6A"/>
    <w:rsid w:val="00484D0D"/>
    <w:rsid w:val="0049272C"/>
    <w:rsid w:val="00493891"/>
    <w:rsid w:val="0049467B"/>
    <w:rsid w:val="004948E7"/>
    <w:rsid w:val="00496581"/>
    <w:rsid w:val="00497CDC"/>
    <w:rsid w:val="00497E20"/>
    <w:rsid w:val="004A35C0"/>
    <w:rsid w:val="004A35F9"/>
    <w:rsid w:val="004B1CF0"/>
    <w:rsid w:val="004B24C1"/>
    <w:rsid w:val="004B2A80"/>
    <w:rsid w:val="004B476E"/>
    <w:rsid w:val="004B5FFF"/>
    <w:rsid w:val="004B6D6C"/>
    <w:rsid w:val="004C1122"/>
    <w:rsid w:val="004C191E"/>
    <w:rsid w:val="004C1D4B"/>
    <w:rsid w:val="004C292F"/>
    <w:rsid w:val="004C7A42"/>
    <w:rsid w:val="004D326F"/>
    <w:rsid w:val="004D3534"/>
    <w:rsid w:val="004D52E7"/>
    <w:rsid w:val="004E0253"/>
    <w:rsid w:val="004E0F6E"/>
    <w:rsid w:val="004E3BCB"/>
    <w:rsid w:val="004E3F86"/>
    <w:rsid w:val="004E5198"/>
    <w:rsid w:val="004E5D10"/>
    <w:rsid w:val="004E6CC5"/>
    <w:rsid w:val="004E6FD2"/>
    <w:rsid w:val="004E7186"/>
    <w:rsid w:val="004F0D4F"/>
    <w:rsid w:val="004F43DC"/>
    <w:rsid w:val="004F48CC"/>
    <w:rsid w:val="00501AC6"/>
    <w:rsid w:val="00502B9F"/>
    <w:rsid w:val="005037EC"/>
    <w:rsid w:val="0050472E"/>
    <w:rsid w:val="00505383"/>
    <w:rsid w:val="00507BB7"/>
    <w:rsid w:val="00510280"/>
    <w:rsid w:val="00511740"/>
    <w:rsid w:val="00513AFE"/>
    <w:rsid w:val="00513D73"/>
    <w:rsid w:val="00514A43"/>
    <w:rsid w:val="00515A05"/>
    <w:rsid w:val="005167E0"/>
    <w:rsid w:val="00516C91"/>
    <w:rsid w:val="00517355"/>
    <w:rsid w:val="005174E5"/>
    <w:rsid w:val="00517FAB"/>
    <w:rsid w:val="00520C1C"/>
    <w:rsid w:val="00522393"/>
    <w:rsid w:val="00522620"/>
    <w:rsid w:val="00525098"/>
    <w:rsid w:val="00525656"/>
    <w:rsid w:val="00526808"/>
    <w:rsid w:val="0052735D"/>
    <w:rsid w:val="00527489"/>
    <w:rsid w:val="00530173"/>
    <w:rsid w:val="00530898"/>
    <w:rsid w:val="00530AB9"/>
    <w:rsid w:val="00532257"/>
    <w:rsid w:val="00534C02"/>
    <w:rsid w:val="00537BB0"/>
    <w:rsid w:val="0054264B"/>
    <w:rsid w:val="00542B1D"/>
    <w:rsid w:val="00543786"/>
    <w:rsid w:val="00543AD4"/>
    <w:rsid w:val="00545426"/>
    <w:rsid w:val="0054557A"/>
    <w:rsid w:val="00545A21"/>
    <w:rsid w:val="00546139"/>
    <w:rsid w:val="005476BB"/>
    <w:rsid w:val="005533D7"/>
    <w:rsid w:val="0055361B"/>
    <w:rsid w:val="00555CF5"/>
    <w:rsid w:val="00556691"/>
    <w:rsid w:val="005611F9"/>
    <w:rsid w:val="005646CD"/>
    <w:rsid w:val="00564CB4"/>
    <w:rsid w:val="00564FDD"/>
    <w:rsid w:val="005703DE"/>
    <w:rsid w:val="00571026"/>
    <w:rsid w:val="005726C7"/>
    <w:rsid w:val="00575479"/>
    <w:rsid w:val="005801C4"/>
    <w:rsid w:val="00581F75"/>
    <w:rsid w:val="00584168"/>
    <w:rsid w:val="0058464E"/>
    <w:rsid w:val="00584A5A"/>
    <w:rsid w:val="0058512F"/>
    <w:rsid w:val="00586CE9"/>
    <w:rsid w:val="00591EAB"/>
    <w:rsid w:val="0059248A"/>
    <w:rsid w:val="00593B48"/>
    <w:rsid w:val="00597C05"/>
    <w:rsid w:val="005A01CB"/>
    <w:rsid w:val="005A51AD"/>
    <w:rsid w:val="005A58FF"/>
    <w:rsid w:val="005A5EAF"/>
    <w:rsid w:val="005A64C0"/>
    <w:rsid w:val="005B05A5"/>
    <w:rsid w:val="005B3696"/>
    <w:rsid w:val="005B3704"/>
    <w:rsid w:val="005B3C11"/>
    <w:rsid w:val="005B5CA9"/>
    <w:rsid w:val="005B5E31"/>
    <w:rsid w:val="005B72AB"/>
    <w:rsid w:val="005B7A4A"/>
    <w:rsid w:val="005B7C59"/>
    <w:rsid w:val="005B7C9F"/>
    <w:rsid w:val="005C1C28"/>
    <w:rsid w:val="005C3E0F"/>
    <w:rsid w:val="005C5B2E"/>
    <w:rsid w:val="005C6DB5"/>
    <w:rsid w:val="005D110F"/>
    <w:rsid w:val="005D25D5"/>
    <w:rsid w:val="005D494E"/>
    <w:rsid w:val="005D4C16"/>
    <w:rsid w:val="005D7B7C"/>
    <w:rsid w:val="005E088D"/>
    <w:rsid w:val="005E19E7"/>
    <w:rsid w:val="005E2E01"/>
    <w:rsid w:val="005E49E6"/>
    <w:rsid w:val="005F01BD"/>
    <w:rsid w:val="005F0D35"/>
    <w:rsid w:val="005F1458"/>
    <w:rsid w:val="005F198F"/>
    <w:rsid w:val="005F409D"/>
    <w:rsid w:val="006006FE"/>
    <w:rsid w:val="0060138A"/>
    <w:rsid w:val="00601DBB"/>
    <w:rsid w:val="00603ECC"/>
    <w:rsid w:val="00604922"/>
    <w:rsid w:val="0060503D"/>
    <w:rsid w:val="00605E6D"/>
    <w:rsid w:val="006067AA"/>
    <w:rsid w:val="00606A6E"/>
    <w:rsid w:val="00606C25"/>
    <w:rsid w:val="00607397"/>
    <w:rsid w:val="00613D06"/>
    <w:rsid w:val="006143CA"/>
    <w:rsid w:val="00615097"/>
    <w:rsid w:val="006162E3"/>
    <w:rsid w:val="0061716C"/>
    <w:rsid w:val="00620525"/>
    <w:rsid w:val="0062192A"/>
    <w:rsid w:val="00621C3A"/>
    <w:rsid w:val="00622E03"/>
    <w:rsid w:val="00622E44"/>
    <w:rsid w:val="006234FD"/>
    <w:rsid w:val="006242C8"/>
    <w:rsid w:val="006243A1"/>
    <w:rsid w:val="006252C5"/>
    <w:rsid w:val="006260D4"/>
    <w:rsid w:val="00626A34"/>
    <w:rsid w:val="00631675"/>
    <w:rsid w:val="00632E56"/>
    <w:rsid w:val="00633B95"/>
    <w:rsid w:val="00635CBA"/>
    <w:rsid w:val="00637804"/>
    <w:rsid w:val="00641566"/>
    <w:rsid w:val="00642B2B"/>
    <w:rsid w:val="0064338B"/>
    <w:rsid w:val="00643BF5"/>
    <w:rsid w:val="00646542"/>
    <w:rsid w:val="006504F4"/>
    <w:rsid w:val="00650792"/>
    <w:rsid w:val="00652052"/>
    <w:rsid w:val="006520BD"/>
    <w:rsid w:val="00652B31"/>
    <w:rsid w:val="00654A16"/>
    <w:rsid w:val="00654BC9"/>
    <w:rsid w:val="006552FD"/>
    <w:rsid w:val="0065579C"/>
    <w:rsid w:val="006573FC"/>
    <w:rsid w:val="0066061C"/>
    <w:rsid w:val="0066337D"/>
    <w:rsid w:val="00663AF3"/>
    <w:rsid w:val="00666B6C"/>
    <w:rsid w:val="006677BB"/>
    <w:rsid w:val="00670C7A"/>
    <w:rsid w:val="0067339B"/>
    <w:rsid w:val="00676D41"/>
    <w:rsid w:val="006775F9"/>
    <w:rsid w:val="006778AB"/>
    <w:rsid w:val="00682140"/>
    <w:rsid w:val="00682682"/>
    <w:rsid w:val="00682702"/>
    <w:rsid w:val="00682CAE"/>
    <w:rsid w:val="00684EA2"/>
    <w:rsid w:val="0068535F"/>
    <w:rsid w:val="00685607"/>
    <w:rsid w:val="00687EC2"/>
    <w:rsid w:val="006907B8"/>
    <w:rsid w:val="00690D87"/>
    <w:rsid w:val="00692368"/>
    <w:rsid w:val="00693048"/>
    <w:rsid w:val="00696324"/>
    <w:rsid w:val="006A1DD6"/>
    <w:rsid w:val="006A1E49"/>
    <w:rsid w:val="006A2EBC"/>
    <w:rsid w:val="006A5414"/>
    <w:rsid w:val="006A5934"/>
    <w:rsid w:val="006A5EA0"/>
    <w:rsid w:val="006A6327"/>
    <w:rsid w:val="006A783B"/>
    <w:rsid w:val="006A7B33"/>
    <w:rsid w:val="006B073C"/>
    <w:rsid w:val="006B4DAB"/>
    <w:rsid w:val="006B4E13"/>
    <w:rsid w:val="006B4F75"/>
    <w:rsid w:val="006B5DA1"/>
    <w:rsid w:val="006B75DD"/>
    <w:rsid w:val="006C1010"/>
    <w:rsid w:val="006C67E0"/>
    <w:rsid w:val="006C694A"/>
    <w:rsid w:val="006C6B0F"/>
    <w:rsid w:val="006C72F5"/>
    <w:rsid w:val="006C7ABA"/>
    <w:rsid w:val="006D0D60"/>
    <w:rsid w:val="006D1122"/>
    <w:rsid w:val="006D2E1A"/>
    <w:rsid w:val="006D3C00"/>
    <w:rsid w:val="006D4CC8"/>
    <w:rsid w:val="006D5420"/>
    <w:rsid w:val="006D5810"/>
    <w:rsid w:val="006D6CF4"/>
    <w:rsid w:val="006D7207"/>
    <w:rsid w:val="006E3675"/>
    <w:rsid w:val="006E4A7F"/>
    <w:rsid w:val="006E57AF"/>
    <w:rsid w:val="006E5B09"/>
    <w:rsid w:val="006E7005"/>
    <w:rsid w:val="006E7BD3"/>
    <w:rsid w:val="006F2A35"/>
    <w:rsid w:val="006F40F2"/>
    <w:rsid w:val="006F6EC9"/>
    <w:rsid w:val="00703D83"/>
    <w:rsid w:val="00704DF6"/>
    <w:rsid w:val="00705009"/>
    <w:rsid w:val="0070651C"/>
    <w:rsid w:val="007070A4"/>
    <w:rsid w:val="00707863"/>
    <w:rsid w:val="00707B6A"/>
    <w:rsid w:val="00710B71"/>
    <w:rsid w:val="007132A3"/>
    <w:rsid w:val="007141AF"/>
    <w:rsid w:val="00716421"/>
    <w:rsid w:val="00717CDB"/>
    <w:rsid w:val="00720496"/>
    <w:rsid w:val="00720D1D"/>
    <w:rsid w:val="007214C3"/>
    <w:rsid w:val="00721EBB"/>
    <w:rsid w:val="00722A02"/>
    <w:rsid w:val="00723F48"/>
    <w:rsid w:val="00724EFB"/>
    <w:rsid w:val="007250A8"/>
    <w:rsid w:val="00727E3E"/>
    <w:rsid w:val="00732EE3"/>
    <w:rsid w:val="007348F6"/>
    <w:rsid w:val="00735276"/>
    <w:rsid w:val="007419C3"/>
    <w:rsid w:val="00744D6A"/>
    <w:rsid w:val="00744F22"/>
    <w:rsid w:val="00745316"/>
    <w:rsid w:val="007467A7"/>
    <w:rsid w:val="007469DD"/>
    <w:rsid w:val="0074741B"/>
    <w:rsid w:val="0074759E"/>
    <w:rsid w:val="007478EA"/>
    <w:rsid w:val="00747EFF"/>
    <w:rsid w:val="00750BE0"/>
    <w:rsid w:val="00751C0A"/>
    <w:rsid w:val="00752A36"/>
    <w:rsid w:val="00752BF2"/>
    <w:rsid w:val="0075415C"/>
    <w:rsid w:val="00757577"/>
    <w:rsid w:val="00757BEC"/>
    <w:rsid w:val="00763502"/>
    <w:rsid w:val="00764C6E"/>
    <w:rsid w:val="0076588F"/>
    <w:rsid w:val="00765910"/>
    <w:rsid w:val="00765D0F"/>
    <w:rsid w:val="00766B02"/>
    <w:rsid w:val="00766C0C"/>
    <w:rsid w:val="00767460"/>
    <w:rsid w:val="00767CD5"/>
    <w:rsid w:val="007704F0"/>
    <w:rsid w:val="00770968"/>
    <w:rsid w:val="00772E0B"/>
    <w:rsid w:val="00775A8E"/>
    <w:rsid w:val="007804A2"/>
    <w:rsid w:val="00782644"/>
    <w:rsid w:val="007831D9"/>
    <w:rsid w:val="00785E0E"/>
    <w:rsid w:val="007913AB"/>
    <w:rsid w:val="007914F7"/>
    <w:rsid w:val="00791BC8"/>
    <w:rsid w:val="00792F7A"/>
    <w:rsid w:val="007948C4"/>
    <w:rsid w:val="007A2752"/>
    <w:rsid w:val="007A3397"/>
    <w:rsid w:val="007A4011"/>
    <w:rsid w:val="007A4A8E"/>
    <w:rsid w:val="007A4C78"/>
    <w:rsid w:val="007A4F70"/>
    <w:rsid w:val="007A53C9"/>
    <w:rsid w:val="007A7697"/>
    <w:rsid w:val="007B12F1"/>
    <w:rsid w:val="007B1625"/>
    <w:rsid w:val="007B1E24"/>
    <w:rsid w:val="007B3897"/>
    <w:rsid w:val="007B5365"/>
    <w:rsid w:val="007B706E"/>
    <w:rsid w:val="007B71EB"/>
    <w:rsid w:val="007C1B39"/>
    <w:rsid w:val="007C6205"/>
    <w:rsid w:val="007C6474"/>
    <w:rsid w:val="007C686A"/>
    <w:rsid w:val="007C7104"/>
    <w:rsid w:val="007C728E"/>
    <w:rsid w:val="007D093B"/>
    <w:rsid w:val="007D2A1A"/>
    <w:rsid w:val="007D2C53"/>
    <w:rsid w:val="007D3D60"/>
    <w:rsid w:val="007D682A"/>
    <w:rsid w:val="007D7762"/>
    <w:rsid w:val="007E1980"/>
    <w:rsid w:val="007E4B76"/>
    <w:rsid w:val="007E5EA8"/>
    <w:rsid w:val="007F0028"/>
    <w:rsid w:val="007F0CF1"/>
    <w:rsid w:val="007F12A5"/>
    <w:rsid w:val="007F19D1"/>
    <w:rsid w:val="007F2C00"/>
    <w:rsid w:val="007F2F1C"/>
    <w:rsid w:val="007F4CF1"/>
    <w:rsid w:val="007F758D"/>
    <w:rsid w:val="007F7D52"/>
    <w:rsid w:val="008020B8"/>
    <w:rsid w:val="0080287A"/>
    <w:rsid w:val="00802FF1"/>
    <w:rsid w:val="0080654C"/>
    <w:rsid w:val="008071C6"/>
    <w:rsid w:val="008100A6"/>
    <w:rsid w:val="0081060A"/>
    <w:rsid w:val="00810AD6"/>
    <w:rsid w:val="00810E93"/>
    <w:rsid w:val="008115EA"/>
    <w:rsid w:val="00812548"/>
    <w:rsid w:val="0081375F"/>
    <w:rsid w:val="00813B3E"/>
    <w:rsid w:val="00813C28"/>
    <w:rsid w:val="00817A00"/>
    <w:rsid w:val="008205AE"/>
    <w:rsid w:val="00820D1A"/>
    <w:rsid w:val="0082186C"/>
    <w:rsid w:val="00824691"/>
    <w:rsid w:val="008248B7"/>
    <w:rsid w:val="0082587D"/>
    <w:rsid w:val="00825A0E"/>
    <w:rsid w:val="00831397"/>
    <w:rsid w:val="00832FFC"/>
    <w:rsid w:val="008345F0"/>
    <w:rsid w:val="00835CC1"/>
    <w:rsid w:val="00835DB3"/>
    <w:rsid w:val="0083617B"/>
    <w:rsid w:val="008371BD"/>
    <w:rsid w:val="00837C97"/>
    <w:rsid w:val="00841152"/>
    <w:rsid w:val="00841183"/>
    <w:rsid w:val="00845275"/>
    <w:rsid w:val="008452F1"/>
    <w:rsid w:val="008504A8"/>
    <w:rsid w:val="00850964"/>
    <w:rsid w:val="0085212A"/>
    <w:rsid w:val="0085282E"/>
    <w:rsid w:val="0085384D"/>
    <w:rsid w:val="0085658A"/>
    <w:rsid w:val="00860A79"/>
    <w:rsid w:val="00861F31"/>
    <w:rsid w:val="00862837"/>
    <w:rsid w:val="00864AC3"/>
    <w:rsid w:val="00867141"/>
    <w:rsid w:val="0086791E"/>
    <w:rsid w:val="0087198C"/>
    <w:rsid w:val="00872C1F"/>
    <w:rsid w:val="00873B42"/>
    <w:rsid w:val="00874249"/>
    <w:rsid w:val="00875983"/>
    <w:rsid w:val="008767A9"/>
    <w:rsid w:val="00881140"/>
    <w:rsid w:val="00881DC3"/>
    <w:rsid w:val="00881E34"/>
    <w:rsid w:val="008842F6"/>
    <w:rsid w:val="008856D8"/>
    <w:rsid w:val="008868B0"/>
    <w:rsid w:val="00890622"/>
    <w:rsid w:val="00890B07"/>
    <w:rsid w:val="008912E9"/>
    <w:rsid w:val="00892E82"/>
    <w:rsid w:val="00894756"/>
    <w:rsid w:val="008954A4"/>
    <w:rsid w:val="00895808"/>
    <w:rsid w:val="008964FD"/>
    <w:rsid w:val="0089683A"/>
    <w:rsid w:val="00896E57"/>
    <w:rsid w:val="008A49D9"/>
    <w:rsid w:val="008A4C7F"/>
    <w:rsid w:val="008A5140"/>
    <w:rsid w:val="008A6323"/>
    <w:rsid w:val="008A6C8D"/>
    <w:rsid w:val="008B3D58"/>
    <w:rsid w:val="008B3EEB"/>
    <w:rsid w:val="008C1B58"/>
    <w:rsid w:val="008C29F7"/>
    <w:rsid w:val="008C39AE"/>
    <w:rsid w:val="008C590D"/>
    <w:rsid w:val="008C67BA"/>
    <w:rsid w:val="008C6F93"/>
    <w:rsid w:val="008D633E"/>
    <w:rsid w:val="008D6872"/>
    <w:rsid w:val="008E031B"/>
    <w:rsid w:val="008E0569"/>
    <w:rsid w:val="008E20B0"/>
    <w:rsid w:val="008E380D"/>
    <w:rsid w:val="008E3BF6"/>
    <w:rsid w:val="008E4EA0"/>
    <w:rsid w:val="008E50D4"/>
    <w:rsid w:val="008E578C"/>
    <w:rsid w:val="008E7029"/>
    <w:rsid w:val="008E7EF6"/>
    <w:rsid w:val="008F1F98"/>
    <w:rsid w:val="008F3363"/>
    <w:rsid w:val="008F4132"/>
    <w:rsid w:val="008F534F"/>
    <w:rsid w:val="008F6758"/>
    <w:rsid w:val="008F7C40"/>
    <w:rsid w:val="00900571"/>
    <w:rsid w:val="009017C9"/>
    <w:rsid w:val="009040DD"/>
    <w:rsid w:val="00905B47"/>
    <w:rsid w:val="00905BBC"/>
    <w:rsid w:val="0091331C"/>
    <w:rsid w:val="0091351C"/>
    <w:rsid w:val="00913620"/>
    <w:rsid w:val="0092155A"/>
    <w:rsid w:val="0092221F"/>
    <w:rsid w:val="009226F9"/>
    <w:rsid w:val="00925392"/>
    <w:rsid w:val="009260C1"/>
    <w:rsid w:val="009268F5"/>
    <w:rsid w:val="00926D64"/>
    <w:rsid w:val="009279DE"/>
    <w:rsid w:val="00930116"/>
    <w:rsid w:val="009323DB"/>
    <w:rsid w:val="009325A0"/>
    <w:rsid w:val="00933210"/>
    <w:rsid w:val="009335D5"/>
    <w:rsid w:val="0093490D"/>
    <w:rsid w:val="00934B33"/>
    <w:rsid w:val="009363F5"/>
    <w:rsid w:val="00940C42"/>
    <w:rsid w:val="0094203C"/>
    <w:rsid w:val="0094212C"/>
    <w:rsid w:val="009458EF"/>
    <w:rsid w:val="00945C22"/>
    <w:rsid w:val="0094703D"/>
    <w:rsid w:val="0095242C"/>
    <w:rsid w:val="00953847"/>
    <w:rsid w:val="00954689"/>
    <w:rsid w:val="009556B6"/>
    <w:rsid w:val="009609F9"/>
    <w:rsid w:val="009617C9"/>
    <w:rsid w:val="00961C93"/>
    <w:rsid w:val="00961F79"/>
    <w:rsid w:val="00962D6F"/>
    <w:rsid w:val="00963C0C"/>
    <w:rsid w:val="00964DF0"/>
    <w:rsid w:val="00965324"/>
    <w:rsid w:val="00970725"/>
    <w:rsid w:val="0097091E"/>
    <w:rsid w:val="00971FE0"/>
    <w:rsid w:val="00973E4C"/>
    <w:rsid w:val="00974E7A"/>
    <w:rsid w:val="0097519A"/>
    <w:rsid w:val="009760D3"/>
    <w:rsid w:val="009763B3"/>
    <w:rsid w:val="00977132"/>
    <w:rsid w:val="00981A4B"/>
    <w:rsid w:val="00982501"/>
    <w:rsid w:val="009827EF"/>
    <w:rsid w:val="009830E5"/>
    <w:rsid w:val="0098312F"/>
    <w:rsid w:val="00983710"/>
    <w:rsid w:val="00984DAC"/>
    <w:rsid w:val="00985938"/>
    <w:rsid w:val="009877D3"/>
    <w:rsid w:val="009915AB"/>
    <w:rsid w:val="0099199E"/>
    <w:rsid w:val="00994E8F"/>
    <w:rsid w:val="009951DC"/>
    <w:rsid w:val="00995999"/>
    <w:rsid w:val="009959BB"/>
    <w:rsid w:val="00997158"/>
    <w:rsid w:val="009A0BED"/>
    <w:rsid w:val="009A0D0F"/>
    <w:rsid w:val="009A275F"/>
    <w:rsid w:val="009A3A7C"/>
    <w:rsid w:val="009A5AF6"/>
    <w:rsid w:val="009A721F"/>
    <w:rsid w:val="009A732C"/>
    <w:rsid w:val="009B2828"/>
    <w:rsid w:val="009B2889"/>
    <w:rsid w:val="009B2ADB"/>
    <w:rsid w:val="009B467E"/>
    <w:rsid w:val="009B4A2B"/>
    <w:rsid w:val="009B603A"/>
    <w:rsid w:val="009C08F0"/>
    <w:rsid w:val="009C26E4"/>
    <w:rsid w:val="009C2D0E"/>
    <w:rsid w:val="009C3DAC"/>
    <w:rsid w:val="009C42E0"/>
    <w:rsid w:val="009C4670"/>
    <w:rsid w:val="009C673E"/>
    <w:rsid w:val="009C77D7"/>
    <w:rsid w:val="009D1EC6"/>
    <w:rsid w:val="009D2A2D"/>
    <w:rsid w:val="009D3259"/>
    <w:rsid w:val="009D5362"/>
    <w:rsid w:val="009D559E"/>
    <w:rsid w:val="009D5EE1"/>
    <w:rsid w:val="009E0EE5"/>
    <w:rsid w:val="009E1415"/>
    <w:rsid w:val="009E20F8"/>
    <w:rsid w:val="009E3445"/>
    <w:rsid w:val="009E3CDD"/>
    <w:rsid w:val="009E5AA6"/>
    <w:rsid w:val="009E6116"/>
    <w:rsid w:val="009E6895"/>
    <w:rsid w:val="009E7897"/>
    <w:rsid w:val="009F184F"/>
    <w:rsid w:val="009F4266"/>
    <w:rsid w:val="009F6447"/>
    <w:rsid w:val="009F69E0"/>
    <w:rsid w:val="00A02637"/>
    <w:rsid w:val="00A02E43"/>
    <w:rsid w:val="00A06432"/>
    <w:rsid w:val="00A065C8"/>
    <w:rsid w:val="00A065F9"/>
    <w:rsid w:val="00A07F34"/>
    <w:rsid w:val="00A113F7"/>
    <w:rsid w:val="00A161BE"/>
    <w:rsid w:val="00A21BAA"/>
    <w:rsid w:val="00A22154"/>
    <w:rsid w:val="00A25892"/>
    <w:rsid w:val="00A25C38"/>
    <w:rsid w:val="00A25CF8"/>
    <w:rsid w:val="00A26A2B"/>
    <w:rsid w:val="00A271E5"/>
    <w:rsid w:val="00A27756"/>
    <w:rsid w:val="00A27AC5"/>
    <w:rsid w:val="00A327B2"/>
    <w:rsid w:val="00A33DED"/>
    <w:rsid w:val="00A36673"/>
    <w:rsid w:val="00A36BBE"/>
    <w:rsid w:val="00A37357"/>
    <w:rsid w:val="00A4307A"/>
    <w:rsid w:val="00A4365C"/>
    <w:rsid w:val="00A43FA3"/>
    <w:rsid w:val="00A43FA6"/>
    <w:rsid w:val="00A44FD9"/>
    <w:rsid w:val="00A456BD"/>
    <w:rsid w:val="00A47A98"/>
    <w:rsid w:val="00A47EBB"/>
    <w:rsid w:val="00A50160"/>
    <w:rsid w:val="00A51CDD"/>
    <w:rsid w:val="00A5386B"/>
    <w:rsid w:val="00A54267"/>
    <w:rsid w:val="00A55DED"/>
    <w:rsid w:val="00A62C2A"/>
    <w:rsid w:val="00A652E9"/>
    <w:rsid w:val="00A6730D"/>
    <w:rsid w:val="00A67AEB"/>
    <w:rsid w:val="00A71625"/>
    <w:rsid w:val="00A71B9B"/>
    <w:rsid w:val="00A74CCA"/>
    <w:rsid w:val="00A751C7"/>
    <w:rsid w:val="00A768BC"/>
    <w:rsid w:val="00A805BC"/>
    <w:rsid w:val="00A83B33"/>
    <w:rsid w:val="00A87844"/>
    <w:rsid w:val="00A916D8"/>
    <w:rsid w:val="00A9312E"/>
    <w:rsid w:val="00A95BB3"/>
    <w:rsid w:val="00A96F05"/>
    <w:rsid w:val="00A9750C"/>
    <w:rsid w:val="00AA038C"/>
    <w:rsid w:val="00AA0E9A"/>
    <w:rsid w:val="00AA4862"/>
    <w:rsid w:val="00AA5ECD"/>
    <w:rsid w:val="00AA6C68"/>
    <w:rsid w:val="00AA70C4"/>
    <w:rsid w:val="00AA72AA"/>
    <w:rsid w:val="00AA7A09"/>
    <w:rsid w:val="00AA7F77"/>
    <w:rsid w:val="00AB1A2C"/>
    <w:rsid w:val="00AB1C98"/>
    <w:rsid w:val="00AB3B50"/>
    <w:rsid w:val="00AC05B1"/>
    <w:rsid w:val="00AC1B79"/>
    <w:rsid w:val="00AC2C7B"/>
    <w:rsid w:val="00AC5AB0"/>
    <w:rsid w:val="00AC796A"/>
    <w:rsid w:val="00AD1056"/>
    <w:rsid w:val="00AD32AD"/>
    <w:rsid w:val="00AD356C"/>
    <w:rsid w:val="00AD392B"/>
    <w:rsid w:val="00AD4A4E"/>
    <w:rsid w:val="00AD5C00"/>
    <w:rsid w:val="00AD7D8E"/>
    <w:rsid w:val="00AE0163"/>
    <w:rsid w:val="00AE0282"/>
    <w:rsid w:val="00AE0323"/>
    <w:rsid w:val="00AE2914"/>
    <w:rsid w:val="00AE2EC2"/>
    <w:rsid w:val="00AE47D6"/>
    <w:rsid w:val="00AE62C6"/>
    <w:rsid w:val="00AE6D15"/>
    <w:rsid w:val="00AF0027"/>
    <w:rsid w:val="00AF045B"/>
    <w:rsid w:val="00AF1A46"/>
    <w:rsid w:val="00AF2C15"/>
    <w:rsid w:val="00AF4D36"/>
    <w:rsid w:val="00AF51BC"/>
    <w:rsid w:val="00AF54BD"/>
    <w:rsid w:val="00AF5708"/>
    <w:rsid w:val="00AF574C"/>
    <w:rsid w:val="00AF624B"/>
    <w:rsid w:val="00B00FA0"/>
    <w:rsid w:val="00B0101B"/>
    <w:rsid w:val="00B022E5"/>
    <w:rsid w:val="00B04182"/>
    <w:rsid w:val="00B04B61"/>
    <w:rsid w:val="00B0528C"/>
    <w:rsid w:val="00B0668D"/>
    <w:rsid w:val="00B076A8"/>
    <w:rsid w:val="00B07AE3"/>
    <w:rsid w:val="00B11430"/>
    <w:rsid w:val="00B11F1D"/>
    <w:rsid w:val="00B13888"/>
    <w:rsid w:val="00B21A87"/>
    <w:rsid w:val="00B2328C"/>
    <w:rsid w:val="00B23FCA"/>
    <w:rsid w:val="00B24EB8"/>
    <w:rsid w:val="00B26823"/>
    <w:rsid w:val="00B308AE"/>
    <w:rsid w:val="00B353EB"/>
    <w:rsid w:val="00B36367"/>
    <w:rsid w:val="00B377D0"/>
    <w:rsid w:val="00B37F7F"/>
    <w:rsid w:val="00B4029B"/>
    <w:rsid w:val="00B41DA7"/>
    <w:rsid w:val="00B428FD"/>
    <w:rsid w:val="00B439C4"/>
    <w:rsid w:val="00B44122"/>
    <w:rsid w:val="00B44313"/>
    <w:rsid w:val="00B443A4"/>
    <w:rsid w:val="00B4535E"/>
    <w:rsid w:val="00B45659"/>
    <w:rsid w:val="00B50944"/>
    <w:rsid w:val="00B52A8C"/>
    <w:rsid w:val="00B548EB"/>
    <w:rsid w:val="00B5556F"/>
    <w:rsid w:val="00B61F93"/>
    <w:rsid w:val="00B62A86"/>
    <w:rsid w:val="00B62BC7"/>
    <w:rsid w:val="00B636A8"/>
    <w:rsid w:val="00B64616"/>
    <w:rsid w:val="00B65483"/>
    <w:rsid w:val="00B663DB"/>
    <w:rsid w:val="00B665C6"/>
    <w:rsid w:val="00B7064F"/>
    <w:rsid w:val="00B73363"/>
    <w:rsid w:val="00B805AF"/>
    <w:rsid w:val="00B80F1E"/>
    <w:rsid w:val="00B81B60"/>
    <w:rsid w:val="00B832B2"/>
    <w:rsid w:val="00B83DCE"/>
    <w:rsid w:val="00B869EC"/>
    <w:rsid w:val="00B86EEC"/>
    <w:rsid w:val="00B903F3"/>
    <w:rsid w:val="00B926DA"/>
    <w:rsid w:val="00B9397A"/>
    <w:rsid w:val="00B9510C"/>
    <w:rsid w:val="00B9633D"/>
    <w:rsid w:val="00B96ABD"/>
    <w:rsid w:val="00BA06AB"/>
    <w:rsid w:val="00BA0B75"/>
    <w:rsid w:val="00BA113D"/>
    <w:rsid w:val="00BA2C37"/>
    <w:rsid w:val="00BA2EBE"/>
    <w:rsid w:val="00BA314E"/>
    <w:rsid w:val="00BA3B97"/>
    <w:rsid w:val="00BA54A0"/>
    <w:rsid w:val="00BB050F"/>
    <w:rsid w:val="00BB0F28"/>
    <w:rsid w:val="00BB458A"/>
    <w:rsid w:val="00BB45AE"/>
    <w:rsid w:val="00BB5A25"/>
    <w:rsid w:val="00BB6C86"/>
    <w:rsid w:val="00BB6E7E"/>
    <w:rsid w:val="00BB77E5"/>
    <w:rsid w:val="00BC1EB1"/>
    <w:rsid w:val="00BD00D3"/>
    <w:rsid w:val="00BD1659"/>
    <w:rsid w:val="00BD28A2"/>
    <w:rsid w:val="00BD3AA9"/>
    <w:rsid w:val="00BD3C8E"/>
    <w:rsid w:val="00BD4A18"/>
    <w:rsid w:val="00BD6893"/>
    <w:rsid w:val="00BD6DB2"/>
    <w:rsid w:val="00BE06FF"/>
    <w:rsid w:val="00BE0FCD"/>
    <w:rsid w:val="00BE11CF"/>
    <w:rsid w:val="00BE21AB"/>
    <w:rsid w:val="00BE2D67"/>
    <w:rsid w:val="00BE3747"/>
    <w:rsid w:val="00BE4CB3"/>
    <w:rsid w:val="00BE4DC0"/>
    <w:rsid w:val="00BE55CB"/>
    <w:rsid w:val="00BE6647"/>
    <w:rsid w:val="00BE79B9"/>
    <w:rsid w:val="00BF104C"/>
    <w:rsid w:val="00BF2C1F"/>
    <w:rsid w:val="00BF504E"/>
    <w:rsid w:val="00BF5FE7"/>
    <w:rsid w:val="00BF617A"/>
    <w:rsid w:val="00BF6E56"/>
    <w:rsid w:val="00BF6FCE"/>
    <w:rsid w:val="00C02D0A"/>
    <w:rsid w:val="00C034CA"/>
    <w:rsid w:val="00C03683"/>
    <w:rsid w:val="00C0379D"/>
    <w:rsid w:val="00C03931"/>
    <w:rsid w:val="00C04129"/>
    <w:rsid w:val="00C04788"/>
    <w:rsid w:val="00C05FE3"/>
    <w:rsid w:val="00C06ACA"/>
    <w:rsid w:val="00C135B8"/>
    <w:rsid w:val="00C14E0B"/>
    <w:rsid w:val="00C17E3F"/>
    <w:rsid w:val="00C2136D"/>
    <w:rsid w:val="00C214EE"/>
    <w:rsid w:val="00C2159D"/>
    <w:rsid w:val="00C22120"/>
    <w:rsid w:val="00C22735"/>
    <w:rsid w:val="00C2314B"/>
    <w:rsid w:val="00C24971"/>
    <w:rsid w:val="00C25F37"/>
    <w:rsid w:val="00C264DE"/>
    <w:rsid w:val="00C26AE8"/>
    <w:rsid w:val="00C26BE5"/>
    <w:rsid w:val="00C26E4D"/>
    <w:rsid w:val="00C27478"/>
    <w:rsid w:val="00C27909"/>
    <w:rsid w:val="00C27B03"/>
    <w:rsid w:val="00C314E1"/>
    <w:rsid w:val="00C31C9F"/>
    <w:rsid w:val="00C33135"/>
    <w:rsid w:val="00C34397"/>
    <w:rsid w:val="00C375F9"/>
    <w:rsid w:val="00C3788B"/>
    <w:rsid w:val="00C4095D"/>
    <w:rsid w:val="00C417EC"/>
    <w:rsid w:val="00C41F5C"/>
    <w:rsid w:val="00C4399C"/>
    <w:rsid w:val="00C44209"/>
    <w:rsid w:val="00C454C5"/>
    <w:rsid w:val="00C462D7"/>
    <w:rsid w:val="00C525B8"/>
    <w:rsid w:val="00C549BB"/>
    <w:rsid w:val="00C5752A"/>
    <w:rsid w:val="00C601D2"/>
    <w:rsid w:val="00C61594"/>
    <w:rsid w:val="00C616D7"/>
    <w:rsid w:val="00C61F24"/>
    <w:rsid w:val="00C64885"/>
    <w:rsid w:val="00C65BCC"/>
    <w:rsid w:val="00C66970"/>
    <w:rsid w:val="00C67C59"/>
    <w:rsid w:val="00C73D16"/>
    <w:rsid w:val="00C83293"/>
    <w:rsid w:val="00C8691C"/>
    <w:rsid w:val="00C92688"/>
    <w:rsid w:val="00C944B2"/>
    <w:rsid w:val="00C971AE"/>
    <w:rsid w:val="00C97892"/>
    <w:rsid w:val="00C97A0D"/>
    <w:rsid w:val="00C97EAB"/>
    <w:rsid w:val="00CA168A"/>
    <w:rsid w:val="00CA1A73"/>
    <w:rsid w:val="00CA357E"/>
    <w:rsid w:val="00CA44F9"/>
    <w:rsid w:val="00CA4A69"/>
    <w:rsid w:val="00CA511C"/>
    <w:rsid w:val="00CA517F"/>
    <w:rsid w:val="00CB3A8A"/>
    <w:rsid w:val="00CB5177"/>
    <w:rsid w:val="00CB5F82"/>
    <w:rsid w:val="00CC1F2F"/>
    <w:rsid w:val="00CC3E0C"/>
    <w:rsid w:val="00CC58D3"/>
    <w:rsid w:val="00CC6DAD"/>
    <w:rsid w:val="00CC784D"/>
    <w:rsid w:val="00CC7E82"/>
    <w:rsid w:val="00CD05D1"/>
    <w:rsid w:val="00CD5A87"/>
    <w:rsid w:val="00CE47E0"/>
    <w:rsid w:val="00CE701A"/>
    <w:rsid w:val="00CF1A5C"/>
    <w:rsid w:val="00CF2415"/>
    <w:rsid w:val="00CF3575"/>
    <w:rsid w:val="00CF3BC2"/>
    <w:rsid w:val="00CF3FE1"/>
    <w:rsid w:val="00D01BFD"/>
    <w:rsid w:val="00D02434"/>
    <w:rsid w:val="00D0337B"/>
    <w:rsid w:val="00D0423D"/>
    <w:rsid w:val="00D079B2"/>
    <w:rsid w:val="00D10CF8"/>
    <w:rsid w:val="00D114E9"/>
    <w:rsid w:val="00D1295E"/>
    <w:rsid w:val="00D1371C"/>
    <w:rsid w:val="00D17BAE"/>
    <w:rsid w:val="00D17D28"/>
    <w:rsid w:val="00D21C70"/>
    <w:rsid w:val="00D22289"/>
    <w:rsid w:val="00D270F5"/>
    <w:rsid w:val="00D309E4"/>
    <w:rsid w:val="00D3168A"/>
    <w:rsid w:val="00D34D16"/>
    <w:rsid w:val="00D35C34"/>
    <w:rsid w:val="00D366D5"/>
    <w:rsid w:val="00D37892"/>
    <w:rsid w:val="00D41407"/>
    <w:rsid w:val="00D41BA4"/>
    <w:rsid w:val="00D422EC"/>
    <w:rsid w:val="00D426D7"/>
    <w:rsid w:val="00D429C6"/>
    <w:rsid w:val="00D4455F"/>
    <w:rsid w:val="00D44FA0"/>
    <w:rsid w:val="00D45C28"/>
    <w:rsid w:val="00D47748"/>
    <w:rsid w:val="00D54CC3"/>
    <w:rsid w:val="00D56D89"/>
    <w:rsid w:val="00D572B7"/>
    <w:rsid w:val="00D57486"/>
    <w:rsid w:val="00D5754B"/>
    <w:rsid w:val="00D579E5"/>
    <w:rsid w:val="00D6041A"/>
    <w:rsid w:val="00D60F22"/>
    <w:rsid w:val="00D61244"/>
    <w:rsid w:val="00D61BAD"/>
    <w:rsid w:val="00D6244F"/>
    <w:rsid w:val="00D633CC"/>
    <w:rsid w:val="00D633EB"/>
    <w:rsid w:val="00D63D91"/>
    <w:rsid w:val="00D63EC8"/>
    <w:rsid w:val="00D63F2C"/>
    <w:rsid w:val="00D65CE2"/>
    <w:rsid w:val="00D737B9"/>
    <w:rsid w:val="00D82B9D"/>
    <w:rsid w:val="00D82BDD"/>
    <w:rsid w:val="00D82FF7"/>
    <w:rsid w:val="00D846C5"/>
    <w:rsid w:val="00D847FE"/>
    <w:rsid w:val="00D84B5C"/>
    <w:rsid w:val="00D8673C"/>
    <w:rsid w:val="00D87B0B"/>
    <w:rsid w:val="00D95DB9"/>
    <w:rsid w:val="00D962A9"/>
    <w:rsid w:val="00D964EA"/>
    <w:rsid w:val="00D966D0"/>
    <w:rsid w:val="00D971F3"/>
    <w:rsid w:val="00DA0C59"/>
    <w:rsid w:val="00DA0CE0"/>
    <w:rsid w:val="00DA26EF"/>
    <w:rsid w:val="00DA3991"/>
    <w:rsid w:val="00DA47E9"/>
    <w:rsid w:val="00DA65E1"/>
    <w:rsid w:val="00DB0990"/>
    <w:rsid w:val="00DB3154"/>
    <w:rsid w:val="00DB3C4A"/>
    <w:rsid w:val="00DB4980"/>
    <w:rsid w:val="00DB4ABE"/>
    <w:rsid w:val="00DB5650"/>
    <w:rsid w:val="00DB6E66"/>
    <w:rsid w:val="00DB7E6C"/>
    <w:rsid w:val="00DC0813"/>
    <w:rsid w:val="00DC0F57"/>
    <w:rsid w:val="00DC3F14"/>
    <w:rsid w:val="00DC5B26"/>
    <w:rsid w:val="00DC7F62"/>
    <w:rsid w:val="00DD0964"/>
    <w:rsid w:val="00DD4D74"/>
    <w:rsid w:val="00DD5A29"/>
    <w:rsid w:val="00DD5D9D"/>
    <w:rsid w:val="00DD6153"/>
    <w:rsid w:val="00DE132F"/>
    <w:rsid w:val="00DE35CB"/>
    <w:rsid w:val="00DE38E7"/>
    <w:rsid w:val="00DE3CA8"/>
    <w:rsid w:val="00DE3F4F"/>
    <w:rsid w:val="00DF01C9"/>
    <w:rsid w:val="00DF21E9"/>
    <w:rsid w:val="00DF4E0B"/>
    <w:rsid w:val="00DF6588"/>
    <w:rsid w:val="00E0050A"/>
    <w:rsid w:val="00E00F14"/>
    <w:rsid w:val="00E00F8F"/>
    <w:rsid w:val="00E02FEB"/>
    <w:rsid w:val="00E04297"/>
    <w:rsid w:val="00E04BBE"/>
    <w:rsid w:val="00E05221"/>
    <w:rsid w:val="00E054C0"/>
    <w:rsid w:val="00E06386"/>
    <w:rsid w:val="00E1110C"/>
    <w:rsid w:val="00E11182"/>
    <w:rsid w:val="00E1175B"/>
    <w:rsid w:val="00E1183B"/>
    <w:rsid w:val="00E12062"/>
    <w:rsid w:val="00E2229B"/>
    <w:rsid w:val="00E226E8"/>
    <w:rsid w:val="00E2370D"/>
    <w:rsid w:val="00E24EB4"/>
    <w:rsid w:val="00E320ED"/>
    <w:rsid w:val="00E33317"/>
    <w:rsid w:val="00E33AFB"/>
    <w:rsid w:val="00E34218"/>
    <w:rsid w:val="00E37138"/>
    <w:rsid w:val="00E430B8"/>
    <w:rsid w:val="00E4391C"/>
    <w:rsid w:val="00E441D0"/>
    <w:rsid w:val="00E44DAC"/>
    <w:rsid w:val="00E46282"/>
    <w:rsid w:val="00E5216E"/>
    <w:rsid w:val="00E52FAC"/>
    <w:rsid w:val="00E535C4"/>
    <w:rsid w:val="00E567B4"/>
    <w:rsid w:val="00E56E4D"/>
    <w:rsid w:val="00E574C5"/>
    <w:rsid w:val="00E57D1E"/>
    <w:rsid w:val="00E613BF"/>
    <w:rsid w:val="00E64311"/>
    <w:rsid w:val="00E6461B"/>
    <w:rsid w:val="00E64A57"/>
    <w:rsid w:val="00E64BDD"/>
    <w:rsid w:val="00E66040"/>
    <w:rsid w:val="00E730E4"/>
    <w:rsid w:val="00E73400"/>
    <w:rsid w:val="00E748F7"/>
    <w:rsid w:val="00E74C6A"/>
    <w:rsid w:val="00E758DB"/>
    <w:rsid w:val="00E759DC"/>
    <w:rsid w:val="00E777E6"/>
    <w:rsid w:val="00E77B32"/>
    <w:rsid w:val="00E82344"/>
    <w:rsid w:val="00E836A6"/>
    <w:rsid w:val="00E84C82"/>
    <w:rsid w:val="00E84D64"/>
    <w:rsid w:val="00E84DCB"/>
    <w:rsid w:val="00E86D0B"/>
    <w:rsid w:val="00E86EE6"/>
    <w:rsid w:val="00E87408"/>
    <w:rsid w:val="00E879EC"/>
    <w:rsid w:val="00E900B1"/>
    <w:rsid w:val="00E9059A"/>
    <w:rsid w:val="00E914C4"/>
    <w:rsid w:val="00E919F6"/>
    <w:rsid w:val="00E923B1"/>
    <w:rsid w:val="00E934F5"/>
    <w:rsid w:val="00E93ABC"/>
    <w:rsid w:val="00E9460F"/>
    <w:rsid w:val="00E95B37"/>
    <w:rsid w:val="00E96098"/>
    <w:rsid w:val="00E96961"/>
    <w:rsid w:val="00EA1727"/>
    <w:rsid w:val="00EA2426"/>
    <w:rsid w:val="00EA271F"/>
    <w:rsid w:val="00EA693C"/>
    <w:rsid w:val="00EA72EC"/>
    <w:rsid w:val="00EB0888"/>
    <w:rsid w:val="00EB11CB"/>
    <w:rsid w:val="00EB275A"/>
    <w:rsid w:val="00EB35DB"/>
    <w:rsid w:val="00EB6CAD"/>
    <w:rsid w:val="00EB743E"/>
    <w:rsid w:val="00EB786A"/>
    <w:rsid w:val="00EC07F1"/>
    <w:rsid w:val="00EC1578"/>
    <w:rsid w:val="00EC1935"/>
    <w:rsid w:val="00EC1C72"/>
    <w:rsid w:val="00EC2FCD"/>
    <w:rsid w:val="00EC3085"/>
    <w:rsid w:val="00EC3CC9"/>
    <w:rsid w:val="00EC5133"/>
    <w:rsid w:val="00EC54B2"/>
    <w:rsid w:val="00EC5D4E"/>
    <w:rsid w:val="00EC680A"/>
    <w:rsid w:val="00ED1B75"/>
    <w:rsid w:val="00ED4C45"/>
    <w:rsid w:val="00ED5CFC"/>
    <w:rsid w:val="00ED5FA5"/>
    <w:rsid w:val="00ED67A7"/>
    <w:rsid w:val="00EE0702"/>
    <w:rsid w:val="00EE2BED"/>
    <w:rsid w:val="00EE374B"/>
    <w:rsid w:val="00EE3CF2"/>
    <w:rsid w:val="00EE69D7"/>
    <w:rsid w:val="00EE6D1F"/>
    <w:rsid w:val="00EF15C2"/>
    <w:rsid w:val="00EF1A0D"/>
    <w:rsid w:val="00EF646C"/>
    <w:rsid w:val="00F0097C"/>
    <w:rsid w:val="00F0555E"/>
    <w:rsid w:val="00F06EB9"/>
    <w:rsid w:val="00F074BA"/>
    <w:rsid w:val="00F078B8"/>
    <w:rsid w:val="00F110BA"/>
    <w:rsid w:val="00F11BB5"/>
    <w:rsid w:val="00F11D03"/>
    <w:rsid w:val="00F12EAD"/>
    <w:rsid w:val="00F1417B"/>
    <w:rsid w:val="00F1427E"/>
    <w:rsid w:val="00F14ACF"/>
    <w:rsid w:val="00F15445"/>
    <w:rsid w:val="00F15EA7"/>
    <w:rsid w:val="00F16573"/>
    <w:rsid w:val="00F17DA4"/>
    <w:rsid w:val="00F26FDD"/>
    <w:rsid w:val="00F31640"/>
    <w:rsid w:val="00F31BB7"/>
    <w:rsid w:val="00F335FE"/>
    <w:rsid w:val="00F34B99"/>
    <w:rsid w:val="00F36365"/>
    <w:rsid w:val="00F414F2"/>
    <w:rsid w:val="00F44396"/>
    <w:rsid w:val="00F44FFC"/>
    <w:rsid w:val="00F452BF"/>
    <w:rsid w:val="00F4665C"/>
    <w:rsid w:val="00F4692B"/>
    <w:rsid w:val="00F47AA2"/>
    <w:rsid w:val="00F52D7C"/>
    <w:rsid w:val="00F52DAB"/>
    <w:rsid w:val="00F5381F"/>
    <w:rsid w:val="00F543F0"/>
    <w:rsid w:val="00F55D6D"/>
    <w:rsid w:val="00F56E00"/>
    <w:rsid w:val="00F63CA0"/>
    <w:rsid w:val="00F65083"/>
    <w:rsid w:val="00F65378"/>
    <w:rsid w:val="00F6603C"/>
    <w:rsid w:val="00F730E1"/>
    <w:rsid w:val="00F73AD7"/>
    <w:rsid w:val="00F76422"/>
    <w:rsid w:val="00F77C11"/>
    <w:rsid w:val="00F77D2F"/>
    <w:rsid w:val="00F81D29"/>
    <w:rsid w:val="00F834C4"/>
    <w:rsid w:val="00F84060"/>
    <w:rsid w:val="00F8743E"/>
    <w:rsid w:val="00F904B6"/>
    <w:rsid w:val="00F91C4D"/>
    <w:rsid w:val="00F92DAF"/>
    <w:rsid w:val="00F92FD9"/>
    <w:rsid w:val="00F9339E"/>
    <w:rsid w:val="00F94F22"/>
    <w:rsid w:val="00F9562C"/>
    <w:rsid w:val="00F976A8"/>
    <w:rsid w:val="00FA2627"/>
    <w:rsid w:val="00FA6684"/>
    <w:rsid w:val="00FA67DF"/>
    <w:rsid w:val="00FA731E"/>
    <w:rsid w:val="00FB001B"/>
    <w:rsid w:val="00FB11F0"/>
    <w:rsid w:val="00FB2B38"/>
    <w:rsid w:val="00FB5A03"/>
    <w:rsid w:val="00FB5B45"/>
    <w:rsid w:val="00FB71D6"/>
    <w:rsid w:val="00FB7C47"/>
    <w:rsid w:val="00FC1B6C"/>
    <w:rsid w:val="00FC2441"/>
    <w:rsid w:val="00FC254C"/>
    <w:rsid w:val="00FC6358"/>
    <w:rsid w:val="00FD01CF"/>
    <w:rsid w:val="00FD28C4"/>
    <w:rsid w:val="00FD320D"/>
    <w:rsid w:val="00FD3D04"/>
    <w:rsid w:val="00FD435A"/>
    <w:rsid w:val="00FD4827"/>
    <w:rsid w:val="00FE0562"/>
    <w:rsid w:val="00FE23DE"/>
    <w:rsid w:val="00FE4822"/>
    <w:rsid w:val="00FE71D0"/>
    <w:rsid w:val="00FE7FC6"/>
    <w:rsid w:val="00FF0219"/>
    <w:rsid w:val="00FF05E8"/>
    <w:rsid w:val="00FF1BA3"/>
    <w:rsid w:val="00FF20AC"/>
    <w:rsid w:val="00FF247A"/>
    <w:rsid w:val="00FF604E"/>
    <w:rsid w:val="00FF61FB"/>
    <w:rsid w:val="5CE310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AB18D18"/>
  <w15:docId w15:val="{6ACE0477-C6C0-4B6B-8106-A535475A6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qFormat/>
    <w:pPr>
      <w:widowControl w:val="0"/>
      <w:jc w:val="both"/>
    </w:pPr>
    <w:rPr>
      <w:kern w:val="2"/>
      <w:sz w:val="21"/>
      <w:szCs w:val="24"/>
    </w:rPr>
  </w:style>
  <w:style w:type="paragraph" w:styleId="1">
    <w:name w:val="heading 1"/>
    <w:basedOn w:val="aff"/>
    <w:next w:val="aff"/>
    <w:link w:val="10"/>
    <w:qFormat/>
    <w:pPr>
      <w:keepNext/>
      <w:keepLines/>
      <w:spacing w:before="340" w:after="330" w:line="578" w:lineRule="auto"/>
      <w:outlineLvl w:val="0"/>
    </w:pPr>
    <w:rPr>
      <w:b/>
      <w:bCs/>
      <w:kern w:val="44"/>
      <w:sz w:val="44"/>
      <w:szCs w:val="44"/>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TOC7">
    <w:name w:val="toc 7"/>
    <w:basedOn w:val="aff"/>
    <w:next w:val="aff"/>
    <w:autoRedefine/>
    <w:semiHidden/>
    <w:qFormat/>
    <w:pPr>
      <w:tabs>
        <w:tab w:val="right" w:leader="dot" w:pos="9241"/>
      </w:tabs>
      <w:ind w:firstLineChars="500" w:firstLine="500"/>
      <w:jc w:val="left"/>
    </w:pPr>
    <w:rPr>
      <w:rFonts w:ascii="宋体"/>
      <w:szCs w:val="21"/>
    </w:rPr>
  </w:style>
  <w:style w:type="paragraph" w:styleId="8">
    <w:name w:val="index 8"/>
    <w:basedOn w:val="aff"/>
    <w:next w:val="aff"/>
    <w:autoRedefine/>
    <w:qFormat/>
    <w:pPr>
      <w:ind w:left="1680" w:hanging="210"/>
      <w:jc w:val="left"/>
    </w:pPr>
    <w:rPr>
      <w:rFonts w:ascii="Calibri" w:hAnsi="Calibri"/>
      <w:sz w:val="20"/>
      <w:szCs w:val="20"/>
    </w:rPr>
  </w:style>
  <w:style w:type="paragraph" w:styleId="aff3">
    <w:name w:val="caption"/>
    <w:basedOn w:val="aff"/>
    <w:next w:val="aff"/>
    <w:qFormat/>
    <w:pPr>
      <w:spacing w:before="152" w:after="160"/>
    </w:pPr>
    <w:rPr>
      <w:rFonts w:ascii="Arial" w:eastAsia="黑体" w:hAnsi="Arial" w:cs="Arial"/>
      <w:sz w:val="20"/>
      <w:szCs w:val="20"/>
    </w:rPr>
  </w:style>
  <w:style w:type="paragraph" w:styleId="5">
    <w:name w:val="index 5"/>
    <w:basedOn w:val="aff"/>
    <w:next w:val="aff"/>
    <w:autoRedefine/>
    <w:qFormat/>
    <w:pPr>
      <w:ind w:left="1050" w:hanging="210"/>
      <w:jc w:val="left"/>
    </w:pPr>
    <w:rPr>
      <w:rFonts w:ascii="Calibri" w:hAnsi="Calibri"/>
      <w:sz w:val="20"/>
      <w:szCs w:val="20"/>
    </w:rPr>
  </w:style>
  <w:style w:type="paragraph" w:styleId="aff4">
    <w:name w:val="Document Map"/>
    <w:basedOn w:val="aff"/>
    <w:semiHidden/>
    <w:qFormat/>
    <w:pPr>
      <w:shd w:val="clear" w:color="auto" w:fill="000080"/>
    </w:pPr>
  </w:style>
  <w:style w:type="paragraph" w:styleId="aff5">
    <w:name w:val="annotation text"/>
    <w:basedOn w:val="aff"/>
    <w:link w:val="aff6"/>
    <w:qFormat/>
    <w:pPr>
      <w:jc w:val="left"/>
    </w:pPr>
  </w:style>
  <w:style w:type="paragraph" w:styleId="6">
    <w:name w:val="index 6"/>
    <w:basedOn w:val="aff"/>
    <w:next w:val="aff"/>
    <w:autoRedefine/>
    <w:qFormat/>
    <w:pPr>
      <w:ind w:left="1260" w:hanging="210"/>
      <w:jc w:val="left"/>
    </w:pPr>
    <w:rPr>
      <w:rFonts w:ascii="Calibri" w:hAnsi="Calibri"/>
      <w:sz w:val="20"/>
      <w:szCs w:val="20"/>
    </w:rPr>
  </w:style>
  <w:style w:type="paragraph" w:styleId="4">
    <w:name w:val="index 4"/>
    <w:basedOn w:val="aff"/>
    <w:next w:val="aff"/>
    <w:autoRedefine/>
    <w:qFormat/>
    <w:pPr>
      <w:ind w:left="840" w:hanging="210"/>
      <w:jc w:val="left"/>
    </w:pPr>
    <w:rPr>
      <w:rFonts w:ascii="Calibri" w:hAnsi="Calibri"/>
      <w:sz w:val="20"/>
      <w:szCs w:val="20"/>
    </w:rPr>
  </w:style>
  <w:style w:type="paragraph" w:styleId="TOC5">
    <w:name w:val="toc 5"/>
    <w:basedOn w:val="aff"/>
    <w:next w:val="aff"/>
    <w:autoRedefine/>
    <w:semiHidden/>
    <w:qFormat/>
    <w:pPr>
      <w:tabs>
        <w:tab w:val="right" w:leader="dot" w:pos="9241"/>
      </w:tabs>
      <w:ind w:firstLineChars="300" w:firstLine="300"/>
      <w:jc w:val="left"/>
    </w:pPr>
    <w:rPr>
      <w:rFonts w:ascii="宋体"/>
      <w:szCs w:val="21"/>
    </w:rPr>
  </w:style>
  <w:style w:type="paragraph" w:styleId="TOC3">
    <w:name w:val="toc 3"/>
    <w:basedOn w:val="aff"/>
    <w:next w:val="aff"/>
    <w:autoRedefine/>
    <w:uiPriority w:val="39"/>
    <w:qFormat/>
    <w:pPr>
      <w:tabs>
        <w:tab w:val="right" w:leader="dot" w:pos="9241"/>
      </w:tabs>
      <w:ind w:firstLineChars="100" w:firstLine="100"/>
      <w:jc w:val="left"/>
    </w:pPr>
    <w:rPr>
      <w:rFonts w:ascii="宋体"/>
      <w:szCs w:val="21"/>
    </w:rPr>
  </w:style>
  <w:style w:type="paragraph" w:styleId="TOC8">
    <w:name w:val="toc 8"/>
    <w:basedOn w:val="aff"/>
    <w:next w:val="aff"/>
    <w:autoRedefine/>
    <w:semiHidden/>
    <w:qFormat/>
    <w:pPr>
      <w:tabs>
        <w:tab w:val="right" w:leader="dot" w:pos="9241"/>
      </w:tabs>
      <w:ind w:firstLineChars="600" w:firstLine="607"/>
      <w:jc w:val="left"/>
    </w:pPr>
    <w:rPr>
      <w:rFonts w:ascii="宋体"/>
      <w:szCs w:val="21"/>
    </w:rPr>
  </w:style>
  <w:style w:type="paragraph" w:styleId="3">
    <w:name w:val="index 3"/>
    <w:basedOn w:val="aff"/>
    <w:next w:val="aff"/>
    <w:autoRedefine/>
    <w:qFormat/>
    <w:pPr>
      <w:ind w:left="630" w:hanging="210"/>
      <w:jc w:val="left"/>
    </w:pPr>
    <w:rPr>
      <w:rFonts w:ascii="Calibri" w:hAnsi="Calibri"/>
      <w:sz w:val="20"/>
      <w:szCs w:val="20"/>
    </w:rPr>
  </w:style>
  <w:style w:type="paragraph" w:styleId="aff7">
    <w:name w:val="endnote text"/>
    <w:basedOn w:val="aff"/>
    <w:semiHidden/>
    <w:qFormat/>
    <w:pPr>
      <w:snapToGrid w:val="0"/>
      <w:jc w:val="left"/>
    </w:pPr>
  </w:style>
  <w:style w:type="paragraph" w:styleId="aff8">
    <w:name w:val="Balloon Text"/>
    <w:basedOn w:val="aff"/>
    <w:link w:val="aff9"/>
    <w:qFormat/>
    <w:rPr>
      <w:sz w:val="18"/>
      <w:szCs w:val="18"/>
    </w:rPr>
  </w:style>
  <w:style w:type="paragraph" w:styleId="affa">
    <w:name w:val="footer"/>
    <w:basedOn w:val="aff"/>
    <w:link w:val="affb"/>
    <w:uiPriority w:val="99"/>
    <w:qFormat/>
    <w:pPr>
      <w:snapToGrid w:val="0"/>
      <w:ind w:rightChars="100" w:right="210"/>
      <w:jc w:val="right"/>
    </w:pPr>
    <w:rPr>
      <w:sz w:val="18"/>
      <w:szCs w:val="18"/>
    </w:rPr>
  </w:style>
  <w:style w:type="paragraph" w:styleId="affc">
    <w:name w:val="header"/>
    <w:basedOn w:val="aff"/>
    <w:link w:val="affd"/>
    <w:uiPriority w:val="99"/>
    <w:qFormat/>
    <w:pPr>
      <w:snapToGrid w:val="0"/>
      <w:jc w:val="left"/>
    </w:pPr>
    <w:rPr>
      <w:sz w:val="18"/>
      <w:szCs w:val="18"/>
    </w:rPr>
  </w:style>
  <w:style w:type="paragraph" w:styleId="TOC1">
    <w:name w:val="toc 1"/>
    <w:basedOn w:val="aff"/>
    <w:next w:val="aff"/>
    <w:autoRedefine/>
    <w:uiPriority w:val="39"/>
    <w:qFormat/>
    <w:pPr>
      <w:tabs>
        <w:tab w:val="right" w:leader="dot" w:pos="9242"/>
      </w:tabs>
      <w:spacing w:beforeLines="25" w:afterLines="25"/>
      <w:jc w:val="left"/>
    </w:pPr>
    <w:rPr>
      <w:rFonts w:ascii="宋体"/>
      <w:szCs w:val="21"/>
    </w:rPr>
  </w:style>
  <w:style w:type="paragraph" w:styleId="TOC4">
    <w:name w:val="toc 4"/>
    <w:basedOn w:val="aff"/>
    <w:next w:val="aff"/>
    <w:autoRedefine/>
    <w:semiHidden/>
    <w:qFormat/>
    <w:pPr>
      <w:tabs>
        <w:tab w:val="right" w:leader="dot" w:pos="9241"/>
      </w:tabs>
      <w:ind w:firstLineChars="200" w:firstLine="200"/>
      <w:jc w:val="left"/>
    </w:pPr>
    <w:rPr>
      <w:rFonts w:ascii="宋体"/>
      <w:szCs w:val="21"/>
    </w:rPr>
  </w:style>
  <w:style w:type="paragraph" w:styleId="affe">
    <w:name w:val="index heading"/>
    <w:basedOn w:val="aff"/>
    <w:next w:val="11"/>
    <w:qFormat/>
    <w:pPr>
      <w:spacing w:before="120" w:after="120"/>
      <w:jc w:val="center"/>
    </w:pPr>
    <w:rPr>
      <w:rFonts w:ascii="Calibri" w:hAnsi="Calibri"/>
      <w:b/>
      <w:bCs/>
      <w:iCs/>
      <w:szCs w:val="20"/>
    </w:rPr>
  </w:style>
  <w:style w:type="paragraph" w:styleId="11">
    <w:name w:val="index 1"/>
    <w:basedOn w:val="aff"/>
    <w:next w:val="afff"/>
    <w:qFormat/>
    <w:pPr>
      <w:tabs>
        <w:tab w:val="right" w:leader="dot" w:pos="9299"/>
      </w:tabs>
      <w:jc w:val="left"/>
    </w:pPr>
    <w:rPr>
      <w:rFonts w:ascii="宋体"/>
      <w:szCs w:val="21"/>
    </w:rPr>
  </w:style>
  <w:style w:type="paragraph" w:customStyle="1" w:styleId="afff">
    <w:name w:val="段"/>
    <w:link w:val="Char"/>
    <w:uiPriority w:val="99"/>
    <w:qFormat/>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
    <w:qFormat/>
    <w:pPr>
      <w:numPr>
        <w:numId w:val="1"/>
      </w:numPr>
      <w:snapToGrid w:val="0"/>
      <w:jc w:val="left"/>
    </w:pPr>
    <w:rPr>
      <w:rFonts w:ascii="宋体"/>
      <w:sz w:val="18"/>
      <w:szCs w:val="18"/>
    </w:rPr>
  </w:style>
  <w:style w:type="paragraph" w:styleId="TOC6">
    <w:name w:val="toc 6"/>
    <w:basedOn w:val="aff"/>
    <w:next w:val="aff"/>
    <w:autoRedefine/>
    <w:semiHidden/>
    <w:qFormat/>
    <w:pPr>
      <w:tabs>
        <w:tab w:val="right" w:leader="dot" w:pos="9241"/>
      </w:tabs>
      <w:ind w:firstLineChars="400" w:firstLine="400"/>
      <w:jc w:val="left"/>
    </w:pPr>
    <w:rPr>
      <w:rFonts w:ascii="宋体"/>
      <w:szCs w:val="21"/>
    </w:rPr>
  </w:style>
  <w:style w:type="paragraph" w:styleId="7">
    <w:name w:val="index 7"/>
    <w:basedOn w:val="aff"/>
    <w:next w:val="aff"/>
    <w:autoRedefine/>
    <w:qFormat/>
    <w:pPr>
      <w:ind w:left="1470" w:hanging="210"/>
      <w:jc w:val="left"/>
    </w:pPr>
    <w:rPr>
      <w:rFonts w:ascii="Calibri" w:hAnsi="Calibri"/>
      <w:sz w:val="20"/>
      <w:szCs w:val="20"/>
    </w:rPr>
  </w:style>
  <w:style w:type="paragraph" w:styleId="9">
    <w:name w:val="index 9"/>
    <w:basedOn w:val="aff"/>
    <w:next w:val="aff"/>
    <w:autoRedefine/>
    <w:qFormat/>
    <w:pPr>
      <w:ind w:left="1890" w:hanging="210"/>
      <w:jc w:val="left"/>
    </w:pPr>
    <w:rPr>
      <w:rFonts w:ascii="Calibri" w:hAnsi="Calibri"/>
      <w:sz w:val="20"/>
      <w:szCs w:val="20"/>
    </w:rPr>
  </w:style>
  <w:style w:type="paragraph" w:styleId="TOC2">
    <w:name w:val="toc 2"/>
    <w:basedOn w:val="aff"/>
    <w:next w:val="aff"/>
    <w:autoRedefine/>
    <w:uiPriority w:val="39"/>
    <w:qFormat/>
    <w:pPr>
      <w:tabs>
        <w:tab w:val="right" w:leader="dot" w:pos="9242"/>
      </w:tabs>
    </w:pPr>
    <w:rPr>
      <w:rFonts w:ascii="宋体"/>
      <w:szCs w:val="21"/>
    </w:rPr>
  </w:style>
  <w:style w:type="paragraph" w:styleId="TOC9">
    <w:name w:val="toc 9"/>
    <w:basedOn w:val="aff"/>
    <w:next w:val="aff"/>
    <w:autoRedefine/>
    <w:semiHidden/>
    <w:qFormat/>
    <w:pPr>
      <w:ind w:left="1470"/>
      <w:jc w:val="left"/>
    </w:pPr>
    <w:rPr>
      <w:sz w:val="20"/>
      <w:szCs w:val="20"/>
    </w:rPr>
  </w:style>
  <w:style w:type="paragraph" w:styleId="afff0">
    <w:name w:val="Normal (Web)"/>
    <w:basedOn w:val="aff"/>
    <w:uiPriority w:val="99"/>
    <w:semiHidden/>
    <w:unhideWhenUsed/>
    <w:qFormat/>
    <w:pPr>
      <w:widowControl/>
      <w:spacing w:before="100" w:beforeAutospacing="1" w:after="100" w:afterAutospacing="1"/>
      <w:jc w:val="left"/>
    </w:pPr>
    <w:rPr>
      <w:rFonts w:ascii="宋体" w:hAnsi="宋体" w:cs="宋体"/>
      <w:kern w:val="0"/>
      <w:sz w:val="24"/>
    </w:rPr>
  </w:style>
  <w:style w:type="paragraph" w:styleId="2">
    <w:name w:val="index 2"/>
    <w:basedOn w:val="aff"/>
    <w:next w:val="aff"/>
    <w:autoRedefine/>
    <w:qFormat/>
    <w:pPr>
      <w:ind w:left="420" w:hanging="210"/>
      <w:jc w:val="left"/>
    </w:pPr>
    <w:rPr>
      <w:rFonts w:ascii="Calibri" w:hAnsi="Calibri"/>
      <w:sz w:val="20"/>
      <w:szCs w:val="20"/>
    </w:rPr>
  </w:style>
  <w:style w:type="paragraph" w:styleId="afff1">
    <w:name w:val="Title"/>
    <w:basedOn w:val="aff"/>
    <w:next w:val="aff"/>
    <w:link w:val="afff2"/>
    <w:qFormat/>
    <w:pPr>
      <w:spacing w:before="240" w:after="60"/>
      <w:jc w:val="center"/>
      <w:outlineLvl w:val="0"/>
    </w:pPr>
    <w:rPr>
      <w:rFonts w:asciiTheme="majorHAnsi" w:eastAsiaTheme="majorEastAsia" w:hAnsiTheme="majorHAnsi" w:cstheme="majorBidi"/>
      <w:b/>
      <w:bCs/>
      <w:sz w:val="32"/>
      <w:szCs w:val="32"/>
    </w:rPr>
  </w:style>
  <w:style w:type="paragraph" w:styleId="afff3">
    <w:name w:val="annotation subject"/>
    <w:basedOn w:val="aff5"/>
    <w:next w:val="aff5"/>
    <w:link w:val="afff4"/>
    <w:qFormat/>
    <w:rPr>
      <w:b/>
      <w:bCs/>
    </w:rPr>
  </w:style>
  <w:style w:type="table" w:styleId="afff5">
    <w:name w:val="Table Grid"/>
    <w:basedOn w:val="aff1"/>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6">
    <w:name w:val="Strong"/>
    <w:basedOn w:val="aff0"/>
    <w:qFormat/>
    <w:rPr>
      <w:b/>
      <w:bCs/>
    </w:rPr>
  </w:style>
  <w:style w:type="character" w:styleId="afff7">
    <w:name w:val="endnote reference"/>
    <w:semiHidden/>
    <w:qFormat/>
    <w:rPr>
      <w:vertAlign w:val="superscript"/>
    </w:rPr>
  </w:style>
  <w:style w:type="character" w:styleId="afff8">
    <w:name w:val="page number"/>
    <w:qFormat/>
    <w:rPr>
      <w:rFonts w:ascii="Times New Roman" w:eastAsia="宋体" w:hAnsi="Times New Roman"/>
      <w:sz w:val="18"/>
    </w:rPr>
  </w:style>
  <w:style w:type="character" w:styleId="afff9">
    <w:name w:val="FollowedHyperlink"/>
    <w:qFormat/>
    <w:rPr>
      <w:color w:val="800080"/>
      <w:u w:val="single"/>
    </w:rPr>
  </w:style>
  <w:style w:type="character" w:styleId="afffa">
    <w:name w:val="Hyperlink"/>
    <w:uiPriority w:val="99"/>
    <w:qFormat/>
    <w:rPr>
      <w:color w:val="0000FF"/>
      <w:spacing w:val="0"/>
      <w:w w:val="100"/>
      <w:szCs w:val="21"/>
      <w:u w:val="single"/>
    </w:rPr>
  </w:style>
  <w:style w:type="character" w:styleId="afffb">
    <w:name w:val="annotation reference"/>
    <w:qFormat/>
    <w:rPr>
      <w:sz w:val="21"/>
      <w:szCs w:val="21"/>
    </w:rPr>
  </w:style>
  <w:style w:type="character" w:styleId="afffc">
    <w:name w:val="footnote reference"/>
    <w:semiHidden/>
    <w:qFormat/>
    <w:rPr>
      <w:vertAlign w:val="superscript"/>
    </w:rPr>
  </w:style>
  <w:style w:type="character" w:customStyle="1" w:styleId="Char">
    <w:name w:val="段 Char"/>
    <w:link w:val="afff"/>
    <w:uiPriority w:val="99"/>
    <w:qFormat/>
    <w:rPr>
      <w:rFonts w:ascii="宋体"/>
      <w:sz w:val="21"/>
      <w:lang w:val="en-US" w:eastAsia="zh-CN" w:bidi="ar-SA"/>
    </w:rPr>
  </w:style>
  <w:style w:type="paragraph" w:customStyle="1" w:styleId="a4">
    <w:name w:val="一级条标题"/>
    <w:next w:val="afff"/>
    <w:uiPriority w:val="99"/>
    <w:qFormat/>
    <w:pPr>
      <w:numPr>
        <w:ilvl w:val="1"/>
        <w:numId w:val="2"/>
      </w:numPr>
      <w:spacing w:beforeLines="50" w:afterLines="50"/>
      <w:ind w:left="0"/>
      <w:outlineLvl w:val="2"/>
    </w:pPr>
    <w:rPr>
      <w:rFonts w:ascii="黑体" w:eastAsia="黑体"/>
      <w:sz w:val="21"/>
      <w:szCs w:val="21"/>
    </w:rPr>
  </w:style>
  <w:style w:type="paragraph" w:customStyle="1" w:styleId="afffd">
    <w:name w:val="标准书脚_奇数页"/>
    <w:qFormat/>
    <w:pPr>
      <w:spacing w:before="120"/>
      <w:ind w:right="198"/>
      <w:jc w:val="right"/>
    </w:pPr>
    <w:rPr>
      <w:rFonts w:ascii="宋体"/>
      <w:sz w:val="18"/>
      <w:szCs w:val="18"/>
    </w:rPr>
  </w:style>
  <w:style w:type="paragraph" w:customStyle="1" w:styleId="afffe">
    <w:name w:val="标准书眉_奇数页"/>
    <w:next w:val="aff"/>
    <w:qFormat/>
    <w:pPr>
      <w:tabs>
        <w:tab w:val="center" w:pos="4154"/>
        <w:tab w:val="right" w:pos="8306"/>
      </w:tabs>
      <w:spacing w:after="220"/>
      <w:jc w:val="right"/>
    </w:pPr>
    <w:rPr>
      <w:rFonts w:ascii="黑体" w:eastAsia="黑体"/>
      <w:sz w:val="21"/>
      <w:szCs w:val="21"/>
    </w:rPr>
  </w:style>
  <w:style w:type="paragraph" w:customStyle="1" w:styleId="a3">
    <w:name w:val="章标题"/>
    <w:next w:val="afff"/>
    <w:uiPriority w:val="99"/>
    <w:qFormat/>
    <w:pPr>
      <w:numPr>
        <w:numId w:val="2"/>
      </w:numPr>
      <w:spacing w:beforeLines="100" w:afterLines="100"/>
      <w:jc w:val="both"/>
      <w:outlineLvl w:val="1"/>
    </w:pPr>
    <w:rPr>
      <w:rFonts w:ascii="黑体" w:eastAsia="黑体"/>
      <w:sz w:val="21"/>
    </w:rPr>
  </w:style>
  <w:style w:type="paragraph" w:customStyle="1" w:styleId="a5">
    <w:name w:val="二级条标题"/>
    <w:basedOn w:val="a4"/>
    <w:next w:val="afff"/>
    <w:uiPriority w:val="99"/>
    <w:qFormat/>
    <w:pPr>
      <w:numPr>
        <w:ilvl w:val="2"/>
      </w:numPr>
      <w:spacing w:before="50" w:after="50"/>
      <w:outlineLvl w:val="3"/>
    </w:p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
    <w:name w:val="列项——（一级）"/>
    <w:qFormat/>
    <w:pPr>
      <w:widowControl w:val="0"/>
      <w:ind w:left="833" w:hanging="408"/>
      <w:jc w:val="both"/>
    </w:pPr>
    <w:rPr>
      <w:rFonts w:ascii="宋体"/>
      <w:sz w:val="21"/>
    </w:rPr>
  </w:style>
  <w:style w:type="paragraph" w:customStyle="1" w:styleId="ac">
    <w:name w:val="列项●（二级）"/>
    <w:qFormat/>
    <w:pPr>
      <w:numPr>
        <w:ilvl w:val="1"/>
        <w:numId w:val="3"/>
      </w:numPr>
      <w:tabs>
        <w:tab w:val="left" w:pos="840"/>
      </w:tabs>
      <w:jc w:val="both"/>
    </w:pPr>
    <w:rPr>
      <w:rFonts w:ascii="宋体"/>
      <w:sz w:val="21"/>
    </w:rPr>
  </w:style>
  <w:style w:type="paragraph" w:customStyle="1" w:styleId="affff0">
    <w:name w:val="目次、标准名称标题"/>
    <w:basedOn w:val="aff"/>
    <w:next w:val="afff"/>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1">
    <w:name w:val="三级条标题"/>
    <w:basedOn w:val="a5"/>
    <w:next w:val="afff"/>
    <w:uiPriority w:val="99"/>
    <w:qFormat/>
    <w:pPr>
      <w:numPr>
        <w:ilvl w:val="0"/>
        <w:numId w:val="0"/>
      </w:numPr>
      <w:outlineLvl w:val="4"/>
    </w:pPr>
  </w:style>
  <w:style w:type="paragraph" w:customStyle="1" w:styleId="a0">
    <w:name w:val="示例"/>
    <w:next w:val="affff2"/>
    <w:qFormat/>
    <w:pPr>
      <w:widowControl w:val="0"/>
      <w:numPr>
        <w:numId w:val="4"/>
      </w:numPr>
      <w:jc w:val="both"/>
    </w:pPr>
    <w:rPr>
      <w:rFonts w:ascii="宋体"/>
      <w:sz w:val="18"/>
      <w:szCs w:val="18"/>
    </w:rPr>
  </w:style>
  <w:style w:type="paragraph" w:customStyle="1" w:styleId="affff2">
    <w:name w:val="示例内容"/>
    <w:qFormat/>
    <w:pPr>
      <w:ind w:firstLineChars="200" w:firstLine="200"/>
    </w:pPr>
    <w:rPr>
      <w:rFonts w:ascii="宋体"/>
      <w:sz w:val="18"/>
      <w:szCs w:val="18"/>
    </w:rPr>
  </w:style>
  <w:style w:type="paragraph" w:customStyle="1" w:styleId="af0">
    <w:name w:val="数字编号列项（二级）"/>
    <w:qFormat/>
    <w:pPr>
      <w:numPr>
        <w:ilvl w:val="1"/>
        <w:numId w:val="5"/>
      </w:numPr>
      <w:jc w:val="both"/>
    </w:pPr>
    <w:rPr>
      <w:rFonts w:ascii="宋体"/>
      <w:sz w:val="21"/>
    </w:rPr>
  </w:style>
  <w:style w:type="paragraph" w:customStyle="1" w:styleId="a6">
    <w:name w:val="四级条标题"/>
    <w:basedOn w:val="affff1"/>
    <w:next w:val="afff"/>
    <w:uiPriority w:val="99"/>
    <w:qFormat/>
    <w:pPr>
      <w:numPr>
        <w:ilvl w:val="4"/>
        <w:numId w:val="2"/>
      </w:numPr>
      <w:outlineLvl w:val="5"/>
    </w:pPr>
  </w:style>
  <w:style w:type="paragraph" w:customStyle="1" w:styleId="a7">
    <w:name w:val="五级条标题"/>
    <w:basedOn w:val="a6"/>
    <w:next w:val="afff"/>
    <w:uiPriority w:val="99"/>
    <w:qFormat/>
    <w:pPr>
      <w:numPr>
        <w:ilvl w:val="5"/>
      </w:numPr>
      <w:outlineLvl w:val="6"/>
    </w:pPr>
  </w:style>
  <w:style w:type="paragraph" w:customStyle="1" w:styleId="afe">
    <w:name w:val="注："/>
    <w:next w:val="afff"/>
    <w:qFormat/>
    <w:pPr>
      <w:widowControl w:val="0"/>
      <w:numPr>
        <w:numId w:val="6"/>
      </w:numPr>
      <w:autoSpaceDE w:val="0"/>
      <w:autoSpaceDN w:val="0"/>
      <w:jc w:val="both"/>
    </w:pPr>
    <w:rPr>
      <w:rFonts w:ascii="宋体"/>
      <w:sz w:val="18"/>
      <w:szCs w:val="18"/>
    </w:rPr>
  </w:style>
  <w:style w:type="paragraph" w:customStyle="1" w:styleId="a">
    <w:name w:val="注×："/>
    <w:pPr>
      <w:widowControl w:val="0"/>
      <w:numPr>
        <w:numId w:val="7"/>
      </w:numPr>
      <w:autoSpaceDE w:val="0"/>
      <w:autoSpaceDN w:val="0"/>
      <w:jc w:val="both"/>
    </w:pPr>
    <w:rPr>
      <w:rFonts w:ascii="宋体"/>
      <w:sz w:val="18"/>
      <w:szCs w:val="18"/>
    </w:rPr>
  </w:style>
  <w:style w:type="paragraph" w:customStyle="1" w:styleId="af">
    <w:name w:val="字母编号列项（一级）"/>
    <w:qFormat/>
    <w:pPr>
      <w:numPr>
        <w:numId w:val="5"/>
      </w:numPr>
      <w:jc w:val="both"/>
    </w:pPr>
    <w:rPr>
      <w:rFonts w:ascii="宋体"/>
      <w:sz w:val="21"/>
    </w:rPr>
  </w:style>
  <w:style w:type="paragraph" w:customStyle="1" w:styleId="ad">
    <w:name w:val="列项◆（三级）"/>
    <w:basedOn w:val="aff"/>
    <w:pPr>
      <w:numPr>
        <w:ilvl w:val="2"/>
        <w:numId w:val="3"/>
      </w:numPr>
    </w:pPr>
    <w:rPr>
      <w:rFonts w:ascii="宋体"/>
      <w:szCs w:val="21"/>
    </w:rPr>
  </w:style>
  <w:style w:type="paragraph" w:customStyle="1" w:styleId="affff3">
    <w:name w:val="编号列项（三级）"/>
    <w:qFormat/>
    <w:rPr>
      <w:rFonts w:ascii="宋体"/>
      <w:sz w:val="21"/>
    </w:rPr>
  </w:style>
  <w:style w:type="paragraph" w:customStyle="1" w:styleId="af1">
    <w:name w:val="示例×："/>
    <w:basedOn w:val="a3"/>
    <w:qFormat/>
    <w:pPr>
      <w:numPr>
        <w:numId w:val="8"/>
      </w:numPr>
      <w:spacing w:beforeLines="0" w:afterLines="0"/>
      <w:outlineLvl w:val="9"/>
    </w:pPr>
    <w:rPr>
      <w:rFonts w:ascii="宋体" w:eastAsia="宋体"/>
      <w:sz w:val="18"/>
      <w:szCs w:val="18"/>
    </w:rPr>
  </w:style>
  <w:style w:type="paragraph" w:customStyle="1" w:styleId="affff4">
    <w:name w:val="二级无"/>
    <w:basedOn w:val="a5"/>
    <w:qFormat/>
    <w:pPr>
      <w:spacing w:beforeLines="0" w:afterLines="0"/>
      <w:ind w:left="0"/>
    </w:pPr>
    <w:rPr>
      <w:rFonts w:ascii="宋体" w:eastAsia="宋体"/>
    </w:rPr>
  </w:style>
  <w:style w:type="paragraph" w:customStyle="1" w:styleId="a8">
    <w:name w:val="注：（正文）"/>
    <w:basedOn w:val="afe"/>
    <w:next w:val="afff"/>
    <w:qFormat/>
    <w:pPr>
      <w:numPr>
        <w:numId w:val="9"/>
      </w:numPr>
    </w:pPr>
  </w:style>
  <w:style w:type="paragraph" w:customStyle="1" w:styleId="a2">
    <w:name w:val="注×：（正文）"/>
    <w:qFormat/>
    <w:pPr>
      <w:numPr>
        <w:numId w:val="10"/>
      </w:numPr>
      <w:ind w:left="811"/>
      <w:jc w:val="both"/>
    </w:pPr>
    <w:rPr>
      <w:rFonts w:ascii="宋体"/>
      <w:sz w:val="18"/>
      <w:szCs w:val="18"/>
    </w:rPr>
  </w:style>
  <w:style w:type="paragraph" w:customStyle="1" w:styleId="affff5">
    <w:name w:val="标准标志"/>
    <w:next w:val="aff"/>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6">
    <w:name w:val="标准称谓"/>
    <w:next w:val="aff"/>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7">
    <w:name w:val="标准书脚_偶数页"/>
    <w:qFormat/>
    <w:pPr>
      <w:spacing w:before="120"/>
      <w:ind w:left="221"/>
    </w:pPr>
    <w:rPr>
      <w:rFonts w:ascii="宋体"/>
      <w:sz w:val="18"/>
      <w:szCs w:val="18"/>
    </w:rPr>
  </w:style>
  <w:style w:type="paragraph" w:customStyle="1" w:styleId="affff8">
    <w:name w:val="标准书眉_偶数页"/>
    <w:basedOn w:val="afffe"/>
    <w:next w:val="aff"/>
    <w:qFormat/>
    <w:pPr>
      <w:jc w:val="left"/>
    </w:pPr>
  </w:style>
  <w:style w:type="paragraph" w:customStyle="1" w:styleId="affff9">
    <w:name w:val="标准书眉一"/>
    <w:pPr>
      <w:jc w:val="both"/>
    </w:pPr>
  </w:style>
  <w:style w:type="paragraph" w:customStyle="1" w:styleId="affffa">
    <w:name w:val="参考文献"/>
    <w:basedOn w:val="aff"/>
    <w:next w:val="afff"/>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f"/>
    <w:next w:val="afff"/>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qFormat/>
    <w:rPr>
      <w:rFonts w:ascii="黑体" w:eastAsia="黑体"/>
      <w:spacing w:val="85"/>
      <w:w w:val="100"/>
      <w:position w:val="3"/>
      <w:sz w:val="28"/>
      <w:szCs w:val="28"/>
    </w:rPr>
  </w:style>
  <w:style w:type="paragraph" w:customStyle="1" w:styleId="affffd">
    <w:name w:val="发布部门"/>
    <w:next w:val="afff"/>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e">
    <w:name w:val="发布日期"/>
    <w:qFormat/>
    <w:pPr>
      <w:framePr w:w="3997" w:h="471" w:hRule="exact" w:vSpace="181" w:wrap="around" w:hAnchor="page" w:x="7089" w:y="14097" w:anchorLock="1"/>
    </w:pPr>
    <w:rPr>
      <w:rFonts w:eastAsia="黑体"/>
      <w:sz w:val="28"/>
    </w:rPr>
  </w:style>
  <w:style w:type="paragraph" w:customStyle="1" w:styleId="a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封面标准英文名称"/>
    <w:basedOn w:val="afffff0"/>
    <w:qFormat/>
    <w:pPr>
      <w:framePr w:wrap="around"/>
      <w:spacing w:before="370" w:line="400" w:lineRule="exact"/>
    </w:pPr>
    <w:rPr>
      <w:rFonts w:ascii="Times New Roman"/>
      <w:sz w:val="28"/>
      <w:szCs w:val="28"/>
    </w:rPr>
  </w:style>
  <w:style w:type="paragraph" w:customStyle="1" w:styleId="afffff2">
    <w:name w:val="封面一致性程度标识"/>
    <w:basedOn w:val="afffff1"/>
    <w:qFormat/>
    <w:pPr>
      <w:framePr w:wrap="around"/>
      <w:spacing w:before="440"/>
    </w:pPr>
    <w:rPr>
      <w:rFonts w:ascii="宋体" w:eastAsia="宋体"/>
    </w:rPr>
  </w:style>
  <w:style w:type="paragraph" w:customStyle="1" w:styleId="afffff3">
    <w:name w:val="封面标准文稿类别"/>
    <w:basedOn w:val="afffff2"/>
    <w:qFormat/>
    <w:pPr>
      <w:framePr w:wrap="around"/>
      <w:spacing w:after="160" w:line="240" w:lineRule="auto"/>
    </w:pPr>
    <w:rPr>
      <w:sz w:val="24"/>
    </w:rPr>
  </w:style>
  <w:style w:type="paragraph" w:customStyle="1" w:styleId="afffff4">
    <w:name w:val="封面标准文稿编辑信息"/>
    <w:basedOn w:val="afffff3"/>
    <w:qFormat/>
    <w:pPr>
      <w:framePr w:wrap="around"/>
      <w:spacing w:before="180" w:line="180" w:lineRule="exact"/>
    </w:pPr>
    <w:rPr>
      <w:sz w:val="21"/>
    </w:rPr>
  </w:style>
  <w:style w:type="paragraph" w:customStyle="1" w:styleId="afffff5">
    <w:name w:val="封面正文"/>
    <w:qFormat/>
    <w:pPr>
      <w:jc w:val="both"/>
    </w:pPr>
  </w:style>
  <w:style w:type="paragraph" w:customStyle="1" w:styleId="af5">
    <w:name w:val="附录标识"/>
    <w:basedOn w:val="aff"/>
    <w:next w:val="afff"/>
    <w:qFormat/>
    <w:pPr>
      <w:keepNext/>
      <w:widowControl/>
      <w:numPr>
        <w:numId w:val="11"/>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6">
    <w:name w:val="附录标题"/>
    <w:basedOn w:val="afff"/>
    <w:next w:val="afff"/>
    <w:qFormat/>
    <w:pPr>
      <w:ind w:firstLineChars="0" w:firstLine="0"/>
      <w:jc w:val="center"/>
    </w:pPr>
    <w:rPr>
      <w:rFonts w:ascii="黑体" w:eastAsia="黑体"/>
    </w:rPr>
  </w:style>
  <w:style w:type="paragraph" w:customStyle="1" w:styleId="af2">
    <w:name w:val="附录表标号"/>
    <w:basedOn w:val="aff"/>
    <w:next w:val="afff"/>
    <w:qFormat/>
    <w:pPr>
      <w:numPr>
        <w:numId w:val="12"/>
      </w:numPr>
      <w:tabs>
        <w:tab w:val="clear" w:pos="0"/>
      </w:tabs>
      <w:spacing w:line="14" w:lineRule="exact"/>
      <w:ind w:left="811" w:hanging="448"/>
      <w:jc w:val="center"/>
      <w:outlineLvl w:val="0"/>
    </w:pPr>
    <w:rPr>
      <w:color w:val="FFFFFF"/>
    </w:rPr>
  </w:style>
  <w:style w:type="paragraph" w:customStyle="1" w:styleId="af3">
    <w:name w:val="附录表标题"/>
    <w:basedOn w:val="aff"/>
    <w:next w:val="afff"/>
    <w:qFormat/>
    <w:pPr>
      <w:numPr>
        <w:ilvl w:val="1"/>
        <w:numId w:val="12"/>
      </w:numPr>
      <w:tabs>
        <w:tab w:val="left" w:pos="180"/>
      </w:tabs>
      <w:spacing w:beforeLines="50" w:afterLines="50"/>
      <w:ind w:left="0" w:firstLine="0"/>
      <w:jc w:val="center"/>
    </w:pPr>
    <w:rPr>
      <w:rFonts w:ascii="黑体" w:eastAsia="黑体"/>
      <w:szCs w:val="21"/>
    </w:rPr>
  </w:style>
  <w:style w:type="paragraph" w:customStyle="1" w:styleId="af8">
    <w:name w:val="附录二级条标题"/>
    <w:basedOn w:val="aff"/>
    <w:next w:val="afff"/>
    <w:qFormat/>
    <w:pPr>
      <w:widowControl/>
      <w:numPr>
        <w:ilvl w:val="3"/>
        <w:numId w:val="11"/>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二级无"/>
    <w:basedOn w:val="af8"/>
    <w:qFormat/>
    <w:pPr>
      <w:spacing w:beforeLines="0" w:afterLines="0"/>
    </w:pPr>
    <w:rPr>
      <w:rFonts w:ascii="宋体" w:eastAsia="宋体"/>
      <w:szCs w:val="21"/>
    </w:rPr>
  </w:style>
  <w:style w:type="paragraph" w:customStyle="1" w:styleId="afffff8">
    <w:name w:val="附录公式"/>
    <w:basedOn w:val="afff"/>
    <w:next w:val="afff"/>
    <w:link w:val="Char0"/>
    <w:qFormat/>
  </w:style>
  <w:style w:type="character" w:customStyle="1" w:styleId="Char0">
    <w:name w:val="附录公式 Char"/>
    <w:basedOn w:val="Char"/>
    <w:link w:val="afffff8"/>
    <w:qFormat/>
    <w:rPr>
      <w:rFonts w:ascii="宋体"/>
      <w:sz w:val="21"/>
      <w:lang w:val="en-US" w:eastAsia="zh-CN" w:bidi="ar-SA"/>
    </w:rPr>
  </w:style>
  <w:style w:type="paragraph" w:customStyle="1" w:styleId="afffff9">
    <w:name w:val="附录公式编号制表符"/>
    <w:basedOn w:val="aff"/>
    <w:next w:val="afff"/>
    <w:qFormat/>
    <w:pPr>
      <w:widowControl/>
      <w:tabs>
        <w:tab w:val="center" w:pos="4201"/>
        <w:tab w:val="right" w:leader="dot" w:pos="9298"/>
      </w:tabs>
      <w:autoSpaceDE w:val="0"/>
      <w:autoSpaceDN w:val="0"/>
    </w:pPr>
    <w:rPr>
      <w:rFonts w:ascii="宋体"/>
      <w:kern w:val="0"/>
      <w:szCs w:val="20"/>
    </w:rPr>
  </w:style>
  <w:style w:type="paragraph" w:customStyle="1" w:styleId="af9">
    <w:name w:val="附录三级条标题"/>
    <w:basedOn w:val="af8"/>
    <w:next w:val="afff"/>
    <w:qFormat/>
    <w:pPr>
      <w:numPr>
        <w:ilvl w:val="4"/>
      </w:numPr>
      <w:tabs>
        <w:tab w:val="left" w:pos="360"/>
      </w:tabs>
      <w:outlineLvl w:val="4"/>
    </w:pPr>
  </w:style>
  <w:style w:type="paragraph" w:customStyle="1" w:styleId="afffffa">
    <w:name w:val="附录三级无"/>
    <w:basedOn w:val="af9"/>
    <w:qFormat/>
    <w:pPr>
      <w:tabs>
        <w:tab w:val="clear" w:pos="360"/>
      </w:tabs>
      <w:spacing w:beforeLines="0" w:afterLines="0"/>
    </w:pPr>
    <w:rPr>
      <w:rFonts w:ascii="宋体" w:eastAsia="宋体"/>
      <w:szCs w:val="21"/>
    </w:rPr>
  </w:style>
  <w:style w:type="paragraph" w:customStyle="1" w:styleId="afd">
    <w:name w:val="附录数字编号列项（二级）"/>
    <w:qFormat/>
    <w:pPr>
      <w:numPr>
        <w:ilvl w:val="1"/>
        <w:numId w:val="13"/>
      </w:numPr>
    </w:pPr>
    <w:rPr>
      <w:rFonts w:ascii="宋体"/>
      <w:sz w:val="21"/>
    </w:rPr>
  </w:style>
  <w:style w:type="paragraph" w:customStyle="1" w:styleId="afa">
    <w:name w:val="附录四级条标题"/>
    <w:basedOn w:val="af9"/>
    <w:next w:val="afff"/>
    <w:qFormat/>
    <w:pPr>
      <w:numPr>
        <w:ilvl w:val="5"/>
      </w:numPr>
      <w:outlineLvl w:val="5"/>
    </w:pPr>
  </w:style>
  <w:style w:type="paragraph" w:customStyle="1" w:styleId="afffffb">
    <w:name w:val="附录四级无"/>
    <w:basedOn w:val="afa"/>
    <w:qFormat/>
    <w:pPr>
      <w:tabs>
        <w:tab w:val="clear" w:pos="360"/>
      </w:tabs>
      <w:spacing w:beforeLines="0" w:afterLines="0"/>
    </w:pPr>
    <w:rPr>
      <w:rFonts w:ascii="宋体" w:eastAsia="宋体"/>
      <w:szCs w:val="21"/>
    </w:rPr>
  </w:style>
  <w:style w:type="paragraph" w:customStyle="1" w:styleId="a9">
    <w:name w:val="附录图标号"/>
    <w:basedOn w:val="aff"/>
    <w:qFormat/>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
    <w:next w:val="afff"/>
    <w:qFormat/>
    <w:pPr>
      <w:numPr>
        <w:ilvl w:val="1"/>
        <w:numId w:val="14"/>
      </w:numPr>
      <w:tabs>
        <w:tab w:val="left" w:pos="363"/>
      </w:tabs>
      <w:spacing w:beforeLines="50" w:afterLines="50"/>
      <w:ind w:left="0" w:firstLine="0"/>
      <w:jc w:val="center"/>
    </w:pPr>
    <w:rPr>
      <w:rFonts w:ascii="黑体" w:eastAsia="黑体"/>
      <w:szCs w:val="21"/>
    </w:rPr>
  </w:style>
  <w:style w:type="paragraph" w:customStyle="1" w:styleId="afb">
    <w:name w:val="附录五级条标题"/>
    <w:basedOn w:val="afa"/>
    <w:next w:val="afff"/>
    <w:qFormat/>
    <w:pPr>
      <w:numPr>
        <w:ilvl w:val="6"/>
      </w:numPr>
      <w:outlineLvl w:val="6"/>
    </w:pPr>
  </w:style>
  <w:style w:type="paragraph" w:customStyle="1" w:styleId="afffffc">
    <w:name w:val="附录五级无"/>
    <w:basedOn w:val="afb"/>
    <w:qFormat/>
    <w:pPr>
      <w:tabs>
        <w:tab w:val="clear" w:pos="360"/>
      </w:tabs>
      <w:spacing w:beforeLines="0" w:afterLines="0"/>
    </w:pPr>
    <w:rPr>
      <w:rFonts w:ascii="宋体" w:eastAsia="宋体"/>
      <w:szCs w:val="21"/>
    </w:rPr>
  </w:style>
  <w:style w:type="paragraph" w:customStyle="1" w:styleId="af6">
    <w:name w:val="附录章标题"/>
    <w:next w:val="afff"/>
    <w:qFormat/>
    <w:pPr>
      <w:numPr>
        <w:ilvl w:val="1"/>
        <w:numId w:val="11"/>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7">
    <w:name w:val="附录一级条标题"/>
    <w:basedOn w:val="af6"/>
    <w:next w:val="afff"/>
    <w:qFormat/>
    <w:pPr>
      <w:numPr>
        <w:ilvl w:val="2"/>
      </w:numPr>
      <w:tabs>
        <w:tab w:val="left" w:pos="360"/>
      </w:tabs>
      <w:autoSpaceDN w:val="0"/>
      <w:spacing w:beforeLines="50" w:afterLines="50"/>
      <w:outlineLvl w:val="2"/>
    </w:pPr>
  </w:style>
  <w:style w:type="paragraph" w:customStyle="1" w:styleId="afffffd">
    <w:name w:val="附录一级无"/>
    <w:basedOn w:val="af7"/>
    <w:qFormat/>
    <w:pPr>
      <w:tabs>
        <w:tab w:val="clear" w:pos="360"/>
      </w:tabs>
      <w:spacing w:beforeLines="0" w:afterLines="0"/>
    </w:pPr>
    <w:rPr>
      <w:rFonts w:ascii="宋体" w:eastAsia="宋体"/>
      <w:szCs w:val="21"/>
    </w:rPr>
  </w:style>
  <w:style w:type="paragraph" w:customStyle="1" w:styleId="afc">
    <w:name w:val="附录字母编号列项（一级）"/>
    <w:qFormat/>
    <w:pPr>
      <w:numPr>
        <w:numId w:val="13"/>
      </w:numPr>
    </w:pPr>
    <w:rPr>
      <w:rFonts w:ascii="宋体"/>
      <w:sz w:val="21"/>
    </w:rPr>
  </w:style>
  <w:style w:type="paragraph" w:customStyle="1" w:styleId="afffffe">
    <w:name w:val="列项说明"/>
    <w:basedOn w:val="aff"/>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
    <w:name w:val="列项说明数字编号"/>
    <w:qFormat/>
    <w:pPr>
      <w:ind w:leftChars="400" w:left="600" w:hangingChars="200" w:hanging="200"/>
    </w:pPr>
    <w:rPr>
      <w:rFonts w:ascii="宋体"/>
      <w:sz w:val="21"/>
    </w:rPr>
  </w:style>
  <w:style w:type="paragraph" w:customStyle="1" w:styleId="affffff0">
    <w:name w:val="目次、索引正文"/>
    <w:qFormat/>
    <w:pPr>
      <w:spacing w:line="320" w:lineRule="exact"/>
      <w:jc w:val="both"/>
    </w:pPr>
    <w:rPr>
      <w:rFonts w:ascii="宋体"/>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f"/>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3">
    <w:name w:val="其他发布部门"/>
    <w:basedOn w:val="affffd"/>
    <w:qFormat/>
    <w:pPr>
      <w:framePr w:wrap="around" w:y="15310"/>
      <w:spacing w:line="0" w:lineRule="atLeast"/>
    </w:pPr>
    <w:rPr>
      <w:rFonts w:ascii="黑体" w:eastAsia="黑体"/>
      <w:b w:val="0"/>
    </w:rPr>
  </w:style>
  <w:style w:type="paragraph" w:customStyle="1" w:styleId="affffff4">
    <w:name w:val="前言、引言标题"/>
    <w:next w:val="afff"/>
    <w:qFormat/>
    <w:pPr>
      <w:keepNext/>
      <w:pageBreakBefore/>
      <w:shd w:val="clear" w:color="FFFFFF" w:fill="FFFFFF"/>
      <w:spacing w:before="640" w:after="560"/>
      <w:jc w:val="center"/>
      <w:outlineLvl w:val="0"/>
    </w:pPr>
    <w:rPr>
      <w:rFonts w:ascii="黑体" w:eastAsia="黑体"/>
      <w:sz w:val="32"/>
    </w:rPr>
  </w:style>
  <w:style w:type="paragraph" w:customStyle="1" w:styleId="affffff5">
    <w:name w:val="三级无"/>
    <w:basedOn w:val="affff1"/>
    <w:qFormat/>
    <w:pPr>
      <w:spacing w:beforeLines="0" w:afterLines="0"/>
    </w:pPr>
    <w:rPr>
      <w:rFonts w:ascii="宋体" w:eastAsia="宋体"/>
    </w:rPr>
  </w:style>
  <w:style w:type="paragraph" w:customStyle="1" w:styleId="affffff6">
    <w:name w:val="实施日期"/>
    <w:basedOn w:val="affffe"/>
    <w:qFormat/>
    <w:pPr>
      <w:framePr w:wrap="around" w:vAnchor="page" w:hAnchor="text"/>
      <w:jc w:val="right"/>
    </w:pPr>
  </w:style>
  <w:style w:type="paragraph" w:customStyle="1" w:styleId="affffff7">
    <w:name w:val="示例后文字"/>
    <w:basedOn w:val="afff"/>
    <w:next w:val="afff"/>
    <w:qFormat/>
    <w:pPr>
      <w:ind w:firstLine="360"/>
    </w:pPr>
    <w:rPr>
      <w:sz w:val="18"/>
    </w:rPr>
  </w:style>
  <w:style w:type="paragraph" w:customStyle="1" w:styleId="affffff8">
    <w:name w:val="首示例"/>
    <w:next w:val="afff"/>
    <w:link w:val="Char1"/>
    <w:qFormat/>
    <w:pPr>
      <w:tabs>
        <w:tab w:val="left" w:pos="360"/>
      </w:tabs>
    </w:pPr>
    <w:rPr>
      <w:rFonts w:ascii="宋体" w:hAnsi="宋体"/>
      <w:kern w:val="2"/>
      <w:sz w:val="18"/>
      <w:szCs w:val="18"/>
    </w:rPr>
  </w:style>
  <w:style w:type="character" w:customStyle="1" w:styleId="Char1">
    <w:name w:val="首示例 Char"/>
    <w:link w:val="affffff8"/>
    <w:qFormat/>
    <w:rPr>
      <w:rFonts w:ascii="宋体" w:hAnsi="宋体"/>
      <w:kern w:val="2"/>
      <w:sz w:val="18"/>
      <w:szCs w:val="18"/>
    </w:rPr>
  </w:style>
  <w:style w:type="paragraph" w:customStyle="1" w:styleId="affffff9">
    <w:name w:val="四级无"/>
    <w:basedOn w:val="a6"/>
    <w:qFormat/>
    <w:pPr>
      <w:spacing w:beforeLines="0" w:afterLines="0"/>
    </w:pPr>
    <w:rPr>
      <w:rFonts w:ascii="宋体" w:eastAsia="宋体"/>
    </w:rPr>
  </w:style>
  <w:style w:type="paragraph" w:customStyle="1" w:styleId="affffffa">
    <w:name w:val="条文脚注"/>
    <w:basedOn w:val="ae"/>
    <w:qFormat/>
    <w:pPr>
      <w:numPr>
        <w:numId w:val="0"/>
      </w:numPr>
      <w:jc w:val="both"/>
    </w:pPr>
  </w:style>
  <w:style w:type="paragraph" w:customStyle="1" w:styleId="affffffb">
    <w:name w:val="图标脚注说明"/>
    <w:basedOn w:val="afff"/>
    <w:qFormat/>
    <w:pPr>
      <w:ind w:left="840" w:firstLineChars="0" w:hanging="420"/>
    </w:pPr>
    <w:rPr>
      <w:sz w:val="18"/>
      <w:szCs w:val="18"/>
    </w:rPr>
  </w:style>
  <w:style w:type="paragraph" w:customStyle="1" w:styleId="affffffc">
    <w:name w:val="图表脚注说明"/>
    <w:basedOn w:val="aff"/>
    <w:qFormat/>
    <w:pPr>
      <w:ind w:left="544" w:hanging="181"/>
    </w:pPr>
    <w:rPr>
      <w:rFonts w:ascii="宋体"/>
      <w:sz w:val="18"/>
      <w:szCs w:val="18"/>
    </w:rPr>
  </w:style>
  <w:style w:type="paragraph" w:customStyle="1" w:styleId="affffffd">
    <w:name w:val="图的脚注"/>
    <w:next w:val="afff"/>
    <w:autoRedefine/>
    <w:qFormat/>
    <w:pPr>
      <w:widowControl w:val="0"/>
      <w:ind w:leftChars="200" w:left="840" w:hangingChars="200" w:hanging="420"/>
      <w:jc w:val="both"/>
    </w:pPr>
    <w:rPr>
      <w:rFonts w:ascii="宋体"/>
      <w:sz w:val="18"/>
    </w:rPr>
  </w:style>
  <w:style w:type="paragraph" w:customStyle="1" w:styleId="affffffe">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
    <w:name w:val="五级无"/>
    <w:basedOn w:val="a7"/>
    <w:qFormat/>
    <w:pPr>
      <w:spacing w:beforeLines="0" w:afterLines="0"/>
    </w:pPr>
    <w:rPr>
      <w:rFonts w:ascii="宋体" w:eastAsia="宋体"/>
    </w:rPr>
  </w:style>
  <w:style w:type="paragraph" w:customStyle="1" w:styleId="afffffff0">
    <w:name w:val="一级无"/>
    <w:basedOn w:val="a4"/>
    <w:qFormat/>
    <w:pPr>
      <w:spacing w:beforeLines="0" w:afterLines="0"/>
    </w:pPr>
    <w:rPr>
      <w:rFonts w:ascii="宋体" w:eastAsia="宋体"/>
    </w:rPr>
  </w:style>
  <w:style w:type="paragraph" w:customStyle="1" w:styleId="af4">
    <w:name w:val="正文表标题"/>
    <w:next w:val="afff"/>
    <w:qFormat/>
    <w:pPr>
      <w:numPr>
        <w:numId w:val="15"/>
      </w:numPr>
      <w:tabs>
        <w:tab w:val="left" w:pos="360"/>
      </w:tabs>
      <w:spacing w:beforeLines="50" w:afterLines="50"/>
      <w:ind w:left="0"/>
      <w:jc w:val="center"/>
    </w:pPr>
    <w:rPr>
      <w:rFonts w:ascii="黑体" w:eastAsia="黑体"/>
      <w:sz w:val="21"/>
    </w:rPr>
  </w:style>
  <w:style w:type="paragraph" w:customStyle="1" w:styleId="afffffff1">
    <w:name w:val="正文公式编号制表符"/>
    <w:basedOn w:val="afff"/>
    <w:next w:val="afff"/>
    <w:qFormat/>
    <w:pPr>
      <w:ind w:firstLineChars="0" w:firstLine="0"/>
    </w:pPr>
  </w:style>
  <w:style w:type="paragraph" w:customStyle="1" w:styleId="a1">
    <w:name w:val="正文图标题"/>
    <w:next w:val="afff"/>
    <w:qFormat/>
    <w:pPr>
      <w:numPr>
        <w:numId w:val="16"/>
      </w:numPr>
      <w:spacing w:beforeLines="50" w:afterLines="50"/>
      <w:jc w:val="center"/>
    </w:pPr>
    <w:rPr>
      <w:rFonts w:ascii="黑体" w:eastAsia="黑体"/>
      <w:sz w:val="21"/>
    </w:rPr>
  </w:style>
  <w:style w:type="paragraph" w:customStyle="1" w:styleId="afffffff2">
    <w:name w:val="终结线"/>
    <w:basedOn w:val="aff"/>
    <w:qFormat/>
    <w:pPr>
      <w:framePr w:hSpace="181" w:vSpace="181" w:wrap="around" w:vAnchor="text" w:hAnchor="margin" w:xAlign="center" w:y="285"/>
    </w:pPr>
  </w:style>
  <w:style w:type="paragraph" w:customStyle="1" w:styleId="afffffff3">
    <w:name w:val="其他发布日期"/>
    <w:basedOn w:val="affffe"/>
    <w:qFormat/>
    <w:pPr>
      <w:framePr w:wrap="around" w:vAnchor="page" w:hAnchor="text" w:x="1419"/>
    </w:pPr>
  </w:style>
  <w:style w:type="paragraph" w:customStyle="1" w:styleId="afffffff4">
    <w:name w:val="其他实施日期"/>
    <w:basedOn w:val="affffff6"/>
    <w:qFormat/>
    <w:pPr>
      <w:framePr w:wrap="around"/>
    </w:pPr>
  </w:style>
  <w:style w:type="paragraph" w:customStyle="1" w:styleId="21">
    <w:name w:val="封面标准名称2"/>
    <w:basedOn w:val="afffff0"/>
    <w:qFormat/>
    <w:pPr>
      <w:framePr w:wrap="around" w:y="4469"/>
      <w:spacing w:beforeLines="630"/>
    </w:pPr>
  </w:style>
  <w:style w:type="paragraph" w:customStyle="1" w:styleId="22">
    <w:name w:val="封面标准英文名称2"/>
    <w:basedOn w:val="afffff1"/>
    <w:qFormat/>
    <w:pPr>
      <w:framePr w:wrap="around" w:y="4469"/>
    </w:pPr>
  </w:style>
  <w:style w:type="paragraph" w:customStyle="1" w:styleId="23">
    <w:name w:val="封面一致性程度标识2"/>
    <w:basedOn w:val="afffff2"/>
    <w:qFormat/>
    <w:pPr>
      <w:framePr w:wrap="around" w:y="4469"/>
    </w:pPr>
  </w:style>
  <w:style w:type="paragraph" w:customStyle="1" w:styleId="24">
    <w:name w:val="封面标准文稿类别2"/>
    <w:basedOn w:val="afffff3"/>
    <w:qFormat/>
    <w:pPr>
      <w:framePr w:wrap="around" w:y="4469"/>
    </w:pPr>
  </w:style>
  <w:style w:type="paragraph" w:customStyle="1" w:styleId="25">
    <w:name w:val="封面标准文稿编辑信息2"/>
    <w:basedOn w:val="afffff4"/>
    <w:qFormat/>
    <w:pPr>
      <w:framePr w:wrap="around" w:y="4469"/>
    </w:pPr>
  </w:style>
  <w:style w:type="character" w:customStyle="1" w:styleId="aff6">
    <w:name w:val="批注文字 字符"/>
    <w:link w:val="aff5"/>
    <w:qFormat/>
    <w:rPr>
      <w:kern w:val="2"/>
      <w:sz w:val="21"/>
      <w:szCs w:val="24"/>
    </w:rPr>
  </w:style>
  <w:style w:type="character" w:customStyle="1" w:styleId="aff9">
    <w:name w:val="批注框文本 字符"/>
    <w:link w:val="aff8"/>
    <w:qFormat/>
    <w:rPr>
      <w:kern w:val="2"/>
      <w:sz w:val="18"/>
      <w:szCs w:val="18"/>
    </w:rPr>
  </w:style>
  <w:style w:type="character" w:customStyle="1" w:styleId="affb">
    <w:name w:val="页脚 字符"/>
    <w:link w:val="affa"/>
    <w:uiPriority w:val="99"/>
    <w:qFormat/>
    <w:rPr>
      <w:kern w:val="2"/>
      <w:sz w:val="18"/>
      <w:szCs w:val="18"/>
    </w:rPr>
  </w:style>
  <w:style w:type="character" w:customStyle="1" w:styleId="afff4">
    <w:name w:val="批注主题 字符"/>
    <w:link w:val="afff3"/>
    <w:qFormat/>
    <w:rPr>
      <w:b/>
      <w:bCs/>
      <w:kern w:val="2"/>
      <w:sz w:val="21"/>
      <w:szCs w:val="24"/>
    </w:rPr>
  </w:style>
  <w:style w:type="paragraph" w:customStyle="1" w:styleId="13">
    <w:name w:val="修订1"/>
    <w:hidden/>
    <w:uiPriority w:val="99"/>
    <w:semiHidden/>
    <w:qFormat/>
    <w:rPr>
      <w:kern w:val="2"/>
      <w:sz w:val="21"/>
      <w:szCs w:val="24"/>
    </w:rPr>
  </w:style>
  <w:style w:type="character" w:customStyle="1" w:styleId="affd">
    <w:name w:val="页眉 字符"/>
    <w:basedOn w:val="aff0"/>
    <w:link w:val="affc"/>
    <w:uiPriority w:val="99"/>
    <w:qFormat/>
    <w:rPr>
      <w:kern w:val="2"/>
      <w:sz w:val="18"/>
      <w:szCs w:val="18"/>
    </w:rPr>
  </w:style>
  <w:style w:type="character" w:styleId="afffffff5">
    <w:name w:val="Placeholder Text"/>
    <w:basedOn w:val="aff0"/>
    <w:uiPriority w:val="99"/>
    <w:semiHidden/>
    <w:qFormat/>
    <w:rPr>
      <w:color w:val="808080"/>
    </w:rPr>
  </w:style>
  <w:style w:type="character" w:customStyle="1" w:styleId="10">
    <w:name w:val="标题 1 字符"/>
    <w:basedOn w:val="aff0"/>
    <w:link w:val="1"/>
    <w:qFormat/>
    <w:rPr>
      <w:b/>
      <w:bCs/>
      <w:kern w:val="44"/>
      <w:sz w:val="44"/>
      <w:szCs w:val="44"/>
    </w:rPr>
  </w:style>
  <w:style w:type="character" w:customStyle="1" w:styleId="afff2">
    <w:name w:val="标题 字符"/>
    <w:basedOn w:val="aff0"/>
    <w:link w:val="afff1"/>
    <w:qFormat/>
    <w:rPr>
      <w:rFonts w:asciiTheme="majorHAnsi" w:eastAsiaTheme="majorEastAsia" w:hAnsiTheme="majorHAnsi" w:cstheme="majorBidi"/>
      <w:b/>
      <w:bCs/>
      <w:kern w:val="2"/>
      <w:sz w:val="32"/>
      <w:szCs w:val="32"/>
    </w:rPr>
  </w:style>
  <w:style w:type="paragraph" w:customStyle="1" w:styleId="TOC10">
    <w:name w:val="TOC 标题1"/>
    <w:basedOn w:val="1"/>
    <w:next w:val="aff"/>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b">
    <w:name w:val="标准文件_一级项"/>
    <w:qFormat/>
    <w:pPr>
      <w:numPr>
        <w:numId w:val="3"/>
      </w:numPr>
    </w:pPr>
    <w:rPr>
      <w:rFonts w:ascii="宋体"/>
      <w:sz w:val="21"/>
    </w:rPr>
  </w:style>
  <w:style w:type="paragraph" w:styleId="afffffff6">
    <w:name w:val="Revision"/>
    <w:hidden/>
    <w:uiPriority w:val="99"/>
    <w:unhideWhenUsed/>
    <w:rsid w:val="006733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EC64E2-283A-47D9-8ADE-C740D0427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1574</Words>
  <Characters>8976</Characters>
  <Application>Microsoft Office Word</Application>
  <DocSecurity>0</DocSecurity>
  <Lines>74</Lines>
  <Paragraphs>21</Paragraphs>
  <ScaleCrop>false</ScaleCrop>
  <Company>china</Company>
  <LinksUpToDate>false</LinksUpToDate>
  <CharactersWithSpaces>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liu gao</cp:lastModifiedBy>
  <cp:revision>99</cp:revision>
  <cp:lastPrinted>2024-10-30T01:08:00Z</cp:lastPrinted>
  <dcterms:created xsi:type="dcterms:W3CDTF">2024-10-24T13:09:00Z</dcterms:created>
  <dcterms:modified xsi:type="dcterms:W3CDTF">2024-11-04T10:08:00Z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F2F1B67C1F464608B6EFC48ADF4084B5_12</vt:lpwstr>
  </property>
</Properties>
</file>