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072FB" w14:paraId="38175931" w14:textId="77777777">
        <w:tc>
          <w:tcPr>
            <w:tcW w:w="509" w:type="dxa"/>
          </w:tcPr>
          <w:p w14:paraId="08512710" w14:textId="77777777" w:rsidR="002072FB" w:rsidRDefault="00951B6D">
            <w:pPr>
              <w:pStyle w:val="affff0"/>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C54463D" w14:textId="77777777" w:rsidR="002072FB" w:rsidRDefault="00951B6D">
            <w:pPr>
              <w:pStyle w:val="affff0"/>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11.020</w:t>
            </w:r>
            <w:r>
              <w:rPr>
                <w:rFonts w:ascii="黑体" w:eastAsia="黑体" w:hAnsi="黑体"/>
                <w:sz w:val="21"/>
                <w:szCs w:val="21"/>
              </w:rPr>
              <w:fldChar w:fldCharType="end"/>
            </w:r>
            <w:bookmarkEnd w:id="0"/>
          </w:p>
        </w:tc>
      </w:tr>
      <w:tr w:rsidR="002072FB" w14:paraId="46A42B46" w14:textId="77777777">
        <w:tc>
          <w:tcPr>
            <w:tcW w:w="509" w:type="dxa"/>
          </w:tcPr>
          <w:p w14:paraId="72C58E21" w14:textId="77777777" w:rsidR="002072FB" w:rsidRDefault="00951B6D">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9242" w:type="dxa"/>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072FB" w14:paraId="032FB4DC" w14:textId="77777777">
              <w:trPr>
                <w:trHeight w:hRule="exact" w:val="1021"/>
              </w:trPr>
              <w:tc>
                <w:tcPr>
                  <w:tcW w:w="9242" w:type="dxa"/>
                  <w:vAlign w:val="center"/>
                </w:tcPr>
                <w:p w14:paraId="1FEA8652" w14:textId="77777777" w:rsidR="002072FB" w:rsidRDefault="00951B6D" w:rsidP="00951B6D">
                  <w:pPr>
                    <w:pStyle w:val="afffff"/>
                    <w:framePr w:w="0" w:hRule="auto" w:wrap="auto" w:hAnchor="text" w:xAlign="left" w:yAlign="inline" w:anchorLock="0"/>
                    <w:ind w:left="420" w:right="624"/>
                    <w:rPr>
                      <w:rFonts w:ascii="宋体" w:hAnsi="宋体" w:hint="eastAsia"/>
                      <w:sz w:val="28"/>
                      <w:szCs w:val="28"/>
                    </w:rPr>
                  </w:pPr>
                  <w:r>
                    <w:rPr>
                      <w:noProof/>
                    </w:rPr>
                    <w:drawing>
                      <wp:inline distT="0" distB="0" distL="0" distR="0" wp14:anchorId="68506D56" wp14:editId="707F75A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64D05EDA" wp14:editId="28D3C868">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CSBT</w:t>
                  </w:r>
                  <w:r>
                    <w:fldChar w:fldCharType="end"/>
                  </w:r>
                  <w:bookmarkEnd w:id="1"/>
                </w:p>
              </w:tc>
            </w:tr>
          </w:tbl>
          <w:p w14:paraId="583A10D2" w14:textId="77777777" w:rsidR="002072FB" w:rsidRDefault="00951B6D">
            <w:pPr>
              <w:pStyle w:val="affff0"/>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C05</w:t>
            </w:r>
            <w:r>
              <w:rPr>
                <w:rFonts w:ascii="黑体" w:eastAsia="黑体" w:hAnsi="黑体"/>
                <w:sz w:val="21"/>
                <w:szCs w:val="21"/>
              </w:rPr>
              <w:fldChar w:fldCharType="end"/>
            </w:r>
            <w:bookmarkEnd w:id="2"/>
          </w:p>
        </w:tc>
      </w:tr>
    </w:tbl>
    <w:bookmarkStart w:id="3" w:name="_Hlk26473981"/>
    <w:p w14:paraId="231CE4E3" w14:textId="77777777" w:rsidR="002072FB" w:rsidRDefault="00951B6D">
      <w:pPr>
        <w:pStyle w:val="afffff0"/>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中国输血协会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2685A4BE" w14:textId="77777777" w:rsidR="002072FB" w:rsidRDefault="00951B6D">
      <w:pPr>
        <w:pStyle w:val="affffffffff2"/>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CSBT</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00</w:t>
      </w:r>
      <w:r>
        <w:rPr>
          <w:rFonts w:hint="eastAsia"/>
        </w:rPr>
        <w:t>6</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rPr>
          <w:rFonts w:hint="eastAsia"/>
        </w:rPr>
        <w:t>X</w:t>
      </w:r>
      <w:r>
        <w:rPr>
          <w:rFonts w:hint="eastAsia"/>
        </w:rPr>
        <w:t>XXX</w:t>
      </w:r>
      <w:r>
        <w:fldChar w:fldCharType="end"/>
      </w:r>
      <w:bookmarkEnd w:id="7"/>
    </w:p>
    <w:p w14:paraId="700DE36A" w14:textId="77777777" w:rsidR="002072FB" w:rsidRDefault="00951B6D">
      <w:pPr>
        <w:pStyle w:val="affffffffff3"/>
        <w:framePr w:wrap="around"/>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5FDA43E8" w14:textId="77777777" w:rsidR="002072FB" w:rsidRDefault="00951B6D">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FBC173E" wp14:editId="4DD4A114">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14:paraId="536BF26C" w14:textId="77777777" w:rsidR="002072FB" w:rsidRDefault="002072FB">
      <w:pPr>
        <w:pStyle w:val="afffff0"/>
        <w:framePr w:w="9639" w:h="6976" w:hRule="exact" w:hSpace="0" w:vSpace="0" w:wrap="around" w:hAnchor="page" w:y="6408"/>
        <w:jc w:val="center"/>
        <w:rPr>
          <w:rFonts w:ascii="黑体" w:eastAsia="黑体" w:hAnsi="黑体" w:hint="eastAsia"/>
          <w:b w:val="0"/>
          <w:bCs w:val="0"/>
          <w:w w:val="100"/>
        </w:rPr>
      </w:pPr>
    </w:p>
    <w:p w14:paraId="6F3FFC96" w14:textId="77777777" w:rsidR="002072FB" w:rsidRDefault="00951B6D">
      <w:pPr>
        <w:pStyle w:val="affffffffff4"/>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血站业务场所建设指南</w:t>
      </w:r>
      <w:r>
        <w:t xml:space="preserve"> </w:t>
      </w:r>
      <w:r>
        <w:t>第</w:t>
      </w:r>
      <w:r>
        <w:t>2</w:t>
      </w:r>
      <w:r>
        <w:t>部分：成分制备</w:t>
      </w:r>
      <w:r>
        <w:fldChar w:fldCharType="end"/>
      </w:r>
      <w:bookmarkEnd w:id="9"/>
    </w:p>
    <w:p w14:paraId="04CA0127" w14:textId="77777777" w:rsidR="002072FB" w:rsidRDefault="002072FB">
      <w:pPr>
        <w:framePr w:w="9639" w:h="6974" w:hRule="exact" w:wrap="around" w:vAnchor="page" w:hAnchor="page" w:x="1419" w:y="6408" w:anchorLock="1"/>
        <w:ind w:left="-1418"/>
      </w:pPr>
    </w:p>
    <w:p w14:paraId="549AF5FB" w14:textId="77777777" w:rsidR="002072FB" w:rsidRDefault="00951B6D">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Guidelines on the construction of premises in blood establishment</w:t>
      </w:r>
    </w:p>
    <w:p w14:paraId="57DB7C98" w14:textId="77777777" w:rsidR="002072FB" w:rsidRDefault="00951B6D">
      <w:pPr>
        <w:pStyle w:val="afffffff8"/>
        <w:framePr w:w="9639" w:h="6974" w:hRule="exact" w:wrap="around" w:vAnchor="page" w:hAnchor="page" w:x="1419" w:y="6408" w:anchorLock="1"/>
        <w:textAlignment w:val="bottom"/>
        <w:rPr>
          <w:rFonts w:eastAsia="黑体"/>
          <w:szCs w:val="28"/>
        </w:rPr>
      </w:pPr>
      <w:r>
        <w:rPr>
          <w:rFonts w:eastAsia="黑体"/>
          <w:szCs w:val="28"/>
        </w:rPr>
        <w:t>Part II: premises for blood processing</w:t>
      </w:r>
      <w:r>
        <w:rPr>
          <w:rFonts w:eastAsia="黑体"/>
          <w:szCs w:val="28"/>
        </w:rPr>
        <w:fldChar w:fldCharType="end"/>
      </w:r>
      <w:bookmarkEnd w:id="10"/>
    </w:p>
    <w:p w14:paraId="1A47A7F7" w14:textId="77777777" w:rsidR="002072FB" w:rsidRDefault="002072FB">
      <w:pPr>
        <w:framePr w:w="9639" w:h="6974" w:hRule="exact" w:wrap="around" w:vAnchor="page" w:hAnchor="page" w:x="1419" w:y="6408" w:anchorLock="1"/>
        <w:spacing w:line="760" w:lineRule="exact"/>
        <w:ind w:left="-1418"/>
      </w:pPr>
    </w:p>
    <w:p w14:paraId="4A0372EA" w14:textId="77777777" w:rsidR="002072FB" w:rsidRDefault="002072FB">
      <w:pPr>
        <w:pStyle w:val="afffffff8"/>
        <w:framePr w:w="9639" w:h="6974" w:hRule="exact" w:wrap="around" w:vAnchor="page" w:hAnchor="page" w:x="1419" w:y="6408" w:anchorLock="1"/>
        <w:textAlignment w:val="bottom"/>
        <w:rPr>
          <w:rFonts w:eastAsia="黑体"/>
          <w:szCs w:val="28"/>
        </w:rPr>
      </w:pPr>
    </w:p>
    <w:p w14:paraId="015C6017" w14:textId="77777777" w:rsidR="002072FB" w:rsidRDefault="00951B6D">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4FDF071B" w14:textId="77777777" w:rsidR="002072FB" w:rsidRDefault="00951B6D">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3A206BDB" w14:textId="77777777" w:rsidR="002072FB" w:rsidRDefault="00951B6D">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08D675B9" w14:textId="77777777" w:rsidR="002072FB" w:rsidRDefault="00951B6D">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hint="eastAsia"/>
        </w:rPr>
        <w:t>x</w:t>
      </w:r>
      <w:r>
        <w:rPr>
          <w:rFonts w:ascii="黑体" w:hint="eastAsia"/>
        </w:rPr>
        <w:t>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hint="eastAsia"/>
        </w:rPr>
        <w:t>x</w:t>
      </w:r>
      <w:r>
        <w:rPr>
          <w:rFonts w:ascii="黑体" w:hint="eastAsia"/>
        </w:rPr>
        <w:t>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hint="eastAsia"/>
        </w:rPr>
        <w:t>x</w:t>
      </w:r>
      <w:r>
        <w:rPr>
          <w:rFonts w:ascii="黑体" w:hint="eastAsia"/>
        </w:rPr>
        <w:t>x</w:t>
      </w:r>
      <w:r>
        <w:rPr>
          <w:rFonts w:ascii="黑体"/>
        </w:rPr>
        <w:fldChar w:fldCharType="end"/>
      </w:r>
      <w:bookmarkEnd w:id="16"/>
      <w:r>
        <w:rPr>
          <w:rFonts w:hint="eastAsia"/>
        </w:rPr>
        <w:t>发布</w:t>
      </w:r>
    </w:p>
    <w:p w14:paraId="266EE06C" w14:textId="77777777" w:rsidR="002072FB" w:rsidRDefault="00951B6D">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hint="eastAsia"/>
        </w:rPr>
        <w:t>x</w:t>
      </w:r>
      <w:r>
        <w:rPr>
          <w:rFonts w:ascii="黑体" w:hint="eastAsia"/>
        </w:rPr>
        <w:t>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hint="eastAsia"/>
        </w:rPr>
        <w:t>x</w:t>
      </w:r>
      <w:r>
        <w:rPr>
          <w:rFonts w:ascii="黑体" w:hint="eastAsia"/>
        </w:rPr>
        <w:t>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hint="eastAsia"/>
        </w:rPr>
        <w:t>x</w:t>
      </w:r>
      <w:r>
        <w:rPr>
          <w:rFonts w:ascii="黑体" w:hint="eastAsia"/>
        </w:rPr>
        <w:t>x</w:t>
      </w:r>
      <w:r>
        <w:rPr>
          <w:rFonts w:ascii="黑体"/>
        </w:rPr>
        <w:fldChar w:fldCharType="end"/>
      </w:r>
      <w:bookmarkEnd w:id="19"/>
      <w:r>
        <w:rPr>
          <w:rFonts w:hint="eastAsia"/>
        </w:rPr>
        <w:t>实施</w:t>
      </w:r>
    </w:p>
    <w:p w14:paraId="06A45B24" w14:textId="77777777" w:rsidR="002072FB" w:rsidRDefault="00951B6D">
      <w:pPr>
        <w:pStyle w:val="affffffff8"/>
        <w:framePr w:h="584" w:hRule="exact" w:hSpace="181" w:vSpace="181" w:wrap="around" w:y="14800"/>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中国输血协会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6A4927A0" w14:textId="77777777" w:rsidR="002072FB" w:rsidRDefault="00951B6D">
      <w:pPr>
        <w:rPr>
          <w:rFonts w:ascii="宋体" w:hAnsi="宋体" w:hint="eastAsia"/>
          <w:sz w:val="28"/>
          <w:szCs w:val="28"/>
        </w:rPr>
        <w:sectPr w:rsidR="002072FB">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1346A42" wp14:editId="02DD58B2">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14:paraId="13822422" w14:textId="77777777" w:rsidR="002072FB" w:rsidRDefault="00951B6D">
      <w:pPr>
        <w:pStyle w:val="affffffa"/>
        <w:spacing w:after="360"/>
      </w:pPr>
      <w:bookmarkStart w:id="21" w:name="BookMark1"/>
      <w:bookmarkStart w:id="22" w:name="_Toc155082102"/>
      <w:r>
        <w:rPr>
          <w:rFonts w:hint="eastAsia"/>
          <w:spacing w:val="320"/>
        </w:rPr>
        <w:lastRenderedPageBreak/>
        <w:t>目</w:t>
      </w:r>
      <w:r>
        <w:rPr>
          <w:rFonts w:hint="eastAsia"/>
        </w:rPr>
        <w:t>次</w:t>
      </w:r>
    </w:p>
    <w:p w14:paraId="02B0DB43"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r>
        <w:fldChar w:fldCharType="begin"/>
      </w:r>
      <w:r>
        <w:instrText xml:space="preserve"> TOC \o "1-1" \h </w:instrText>
      </w:r>
      <w:r>
        <w:fldChar w:fldCharType="separate"/>
      </w:r>
      <w:hyperlink w:anchor="_Toc155082142" w:history="1">
        <w:r>
          <w:rPr>
            <w:rStyle w:val="affffb"/>
          </w:rPr>
          <w:t>前言</w:t>
        </w:r>
        <w:r>
          <w:tab/>
        </w:r>
        <w:r>
          <w:fldChar w:fldCharType="begin"/>
        </w:r>
        <w:r>
          <w:instrText xml:space="preserve"> PAGEREF _Toc155082142 \h </w:instrText>
        </w:r>
        <w:r>
          <w:fldChar w:fldCharType="separate"/>
        </w:r>
        <w:r>
          <w:t>II</w:t>
        </w:r>
        <w:r>
          <w:fldChar w:fldCharType="end"/>
        </w:r>
      </w:hyperlink>
    </w:p>
    <w:p w14:paraId="55D84193"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43" w:history="1">
        <w:r>
          <w:rPr>
            <w:rStyle w:val="affffb"/>
          </w:rPr>
          <w:t xml:space="preserve">1  </w:t>
        </w:r>
        <w:r>
          <w:rPr>
            <w:rStyle w:val="affffb"/>
          </w:rPr>
          <w:t>范围</w:t>
        </w:r>
        <w:r>
          <w:tab/>
        </w:r>
        <w:r>
          <w:fldChar w:fldCharType="begin"/>
        </w:r>
        <w:r>
          <w:instrText xml:space="preserve"> PAGEREF _Toc155082143 \h </w:instrText>
        </w:r>
        <w:r>
          <w:fldChar w:fldCharType="separate"/>
        </w:r>
        <w:r>
          <w:t>1</w:t>
        </w:r>
        <w:r>
          <w:fldChar w:fldCharType="end"/>
        </w:r>
      </w:hyperlink>
    </w:p>
    <w:p w14:paraId="645892FF"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44" w:history="1">
        <w:r>
          <w:rPr>
            <w:rStyle w:val="affffb"/>
          </w:rPr>
          <w:t xml:space="preserve">2  </w:t>
        </w:r>
        <w:r>
          <w:rPr>
            <w:rStyle w:val="affffb"/>
          </w:rPr>
          <w:t>规范性引用文件</w:t>
        </w:r>
        <w:r>
          <w:tab/>
        </w:r>
        <w:r>
          <w:fldChar w:fldCharType="begin"/>
        </w:r>
        <w:r>
          <w:instrText xml:space="preserve"> PAGEREF _Toc155082144 \h </w:instrText>
        </w:r>
        <w:r>
          <w:fldChar w:fldCharType="separate"/>
        </w:r>
        <w:r>
          <w:t>1</w:t>
        </w:r>
        <w:r>
          <w:fldChar w:fldCharType="end"/>
        </w:r>
      </w:hyperlink>
    </w:p>
    <w:p w14:paraId="350C3560"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45" w:history="1">
        <w:r>
          <w:rPr>
            <w:rStyle w:val="affffb"/>
          </w:rPr>
          <w:t xml:space="preserve">3  </w:t>
        </w:r>
        <w:r>
          <w:rPr>
            <w:rStyle w:val="affffb"/>
          </w:rPr>
          <w:t>术语和定义</w:t>
        </w:r>
        <w:r>
          <w:tab/>
        </w:r>
        <w:r>
          <w:fldChar w:fldCharType="begin"/>
        </w:r>
        <w:r>
          <w:instrText xml:space="preserve"> PAGEREF _Toc155082145 \h </w:instrText>
        </w:r>
        <w:r>
          <w:fldChar w:fldCharType="separate"/>
        </w:r>
        <w:r>
          <w:t>1</w:t>
        </w:r>
        <w:r>
          <w:fldChar w:fldCharType="end"/>
        </w:r>
      </w:hyperlink>
    </w:p>
    <w:p w14:paraId="30687D91"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46" w:history="1">
        <w:r>
          <w:rPr>
            <w:rStyle w:val="affffb"/>
          </w:rPr>
          <w:t xml:space="preserve">4  </w:t>
        </w:r>
        <w:r>
          <w:rPr>
            <w:rStyle w:val="affffb"/>
          </w:rPr>
          <w:t>规模等级划分</w:t>
        </w:r>
        <w:r>
          <w:tab/>
        </w:r>
        <w:r>
          <w:fldChar w:fldCharType="begin"/>
        </w:r>
        <w:r>
          <w:instrText xml:space="preserve"> PAGEREF _Toc155082146 \h </w:instrText>
        </w:r>
        <w:r>
          <w:fldChar w:fldCharType="separate"/>
        </w:r>
        <w:r>
          <w:t>2</w:t>
        </w:r>
        <w:r>
          <w:fldChar w:fldCharType="end"/>
        </w:r>
      </w:hyperlink>
    </w:p>
    <w:p w14:paraId="33A5E769"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47" w:history="1">
        <w:r>
          <w:rPr>
            <w:rStyle w:val="affffb"/>
          </w:rPr>
          <w:t xml:space="preserve">5  </w:t>
        </w:r>
        <w:r>
          <w:rPr>
            <w:rStyle w:val="affffb"/>
          </w:rPr>
          <w:t>使用面积指标</w:t>
        </w:r>
        <w:r>
          <w:tab/>
        </w:r>
        <w:r>
          <w:fldChar w:fldCharType="begin"/>
        </w:r>
        <w:r>
          <w:instrText xml:space="preserve"> PAGEREF _Toc155082147 \h </w:instrText>
        </w:r>
        <w:r>
          <w:fldChar w:fldCharType="separate"/>
        </w:r>
        <w:r>
          <w:t>2</w:t>
        </w:r>
        <w:r>
          <w:fldChar w:fldCharType="end"/>
        </w:r>
      </w:hyperlink>
    </w:p>
    <w:p w14:paraId="7EAB88C6"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48" w:history="1">
        <w:r>
          <w:rPr>
            <w:rStyle w:val="affffb"/>
          </w:rPr>
          <w:t xml:space="preserve">6  </w:t>
        </w:r>
        <w:r>
          <w:rPr>
            <w:rStyle w:val="affffb"/>
          </w:rPr>
          <w:t>建筑设计</w:t>
        </w:r>
        <w:r>
          <w:tab/>
        </w:r>
        <w:r>
          <w:fldChar w:fldCharType="begin"/>
        </w:r>
        <w:r>
          <w:instrText xml:space="preserve"> PAGEREF _Toc155082148 \h </w:instrText>
        </w:r>
        <w:r>
          <w:fldChar w:fldCharType="separate"/>
        </w:r>
        <w:r>
          <w:t>3</w:t>
        </w:r>
        <w:r>
          <w:fldChar w:fldCharType="end"/>
        </w:r>
      </w:hyperlink>
    </w:p>
    <w:p w14:paraId="15AB07C6"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49" w:history="1">
        <w:r>
          <w:rPr>
            <w:rStyle w:val="affffb"/>
          </w:rPr>
          <w:t xml:space="preserve">7  </w:t>
        </w:r>
        <w:r>
          <w:rPr>
            <w:rStyle w:val="affffb"/>
          </w:rPr>
          <w:t>结构设计</w:t>
        </w:r>
        <w:r>
          <w:tab/>
        </w:r>
        <w:r>
          <w:fldChar w:fldCharType="begin"/>
        </w:r>
        <w:r>
          <w:instrText xml:space="preserve"> PAGEREF _Toc155082149 \h </w:instrText>
        </w:r>
        <w:r>
          <w:fldChar w:fldCharType="separate"/>
        </w:r>
        <w:r>
          <w:t>3</w:t>
        </w:r>
        <w:r>
          <w:fldChar w:fldCharType="end"/>
        </w:r>
      </w:hyperlink>
    </w:p>
    <w:p w14:paraId="5D55E383"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50" w:history="1">
        <w:r>
          <w:rPr>
            <w:rStyle w:val="affffb"/>
          </w:rPr>
          <w:t xml:space="preserve">8  </w:t>
        </w:r>
        <w:r>
          <w:rPr>
            <w:rStyle w:val="affffb"/>
          </w:rPr>
          <w:t>消洗设施</w:t>
        </w:r>
        <w:r>
          <w:tab/>
        </w:r>
        <w:r>
          <w:fldChar w:fldCharType="begin"/>
        </w:r>
        <w:r>
          <w:instrText xml:space="preserve"> PAGEREF _Toc155082150 \h </w:instrText>
        </w:r>
        <w:r>
          <w:fldChar w:fldCharType="separate"/>
        </w:r>
        <w:r>
          <w:t>3</w:t>
        </w:r>
        <w:r>
          <w:fldChar w:fldCharType="end"/>
        </w:r>
      </w:hyperlink>
    </w:p>
    <w:p w14:paraId="4305F55A"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51" w:history="1">
        <w:r>
          <w:rPr>
            <w:rStyle w:val="affffb"/>
          </w:rPr>
          <w:t xml:space="preserve">9  </w:t>
        </w:r>
        <w:r>
          <w:rPr>
            <w:rStyle w:val="affffb"/>
          </w:rPr>
          <w:t>暖通空调</w:t>
        </w:r>
        <w:r>
          <w:tab/>
        </w:r>
        <w:r>
          <w:fldChar w:fldCharType="begin"/>
        </w:r>
        <w:r>
          <w:instrText xml:space="preserve"> PAGEREF _Toc155082151 \h </w:instrText>
        </w:r>
        <w:r>
          <w:fldChar w:fldCharType="separate"/>
        </w:r>
        <w:r>
          <w:t>3</w:t>
        </w:r>
        <w:r>
          <w:fldChar w:fldCharType="end"/>
        </w:r>
      </w:hyperlink>
    </w:p>
    <w:p w14:paraId="56A25297"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52" w:history="1">
        <w:r>
          <w:rPr>
            <w:rStyle w:val="affffb"/>
          </w:rPr>
          <w:t xml:space="preserve">10  </w:t>
        </w:r>
        <w:r>
          <w:rPr>
            <w:rStyle w:val="affffb"/>
          </w:rPr>
          <w:t>电气</w:t>
        </w:r>
        <w:r>
          <w:tab/>
        </w:r>
        <w:r>
          <w:fldChar w:fldCharType="begin"/>
        </w:r>
        <w:r>
          <w:instrText xml:space="preserve"> PAGEREF _Toc155082152 \h </w:instrText>
        </w:r>
        <w:r>
          <w:fldChar w:fldCharType="separate"/>
        </w:r>
        <w:r>
          <w:t>3</w:t>
        </w:r>
        <w:r>
          <w:fldChar w:fldCharType="end"/>
        </w:r>
      </w:hyperlink>
    </w:p>
    <w:p w14:paraId="2C473CFA"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53" w:history="1">
        <w:r>
          <w:rPr>
            <w:rStyle w:val="affffb"/>
          </w:rPr>
          <w:t xml:space="preserve">11  </w:t>
        </w:r>
        <w:r>
          <w:rPr>
            <w:rStyle w:val="affffb"/>
          </w:rPr>
          <w:t>信息系统</w:t>
        </w:r>
        <w:r>
          <w:tab/>
        </w:r>
        <w:r>
          <w:fldChar w:fldCharType="begin"/>
        </w:r>
        <w:r>
          <w:instrText xml:space="preserve"> PAGEREF _Toc155082153 \h </w:instrText>
        </w:r>
        <w:r>
          <w:fldChar w:fldCharType="separate"/>
        </w:r>
        <w:r>
          <w:t>3</w:t>
        </w:r>
        <w:r>
          <w:fldChar w:fldCharType="end"/>
        </w:r>
      </w:hyperlink>
    </w:p>
    <w:p w14:paraId="43FB1FA8"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54" w:history="1">
        <w:r>
          <w:rPr>
            <w:rStyle w:val="affffb"/>
          </w:rPr>
          <w:t xml:space="preserve">12  </w:t>
        </w:r>
        <w:r>
          <w:rPr>
            <w:rStyle w:val="affffb"/>
          </w:rPr>
          <w:t>消防与安全设施</w:t>
        </w:r>
        <w:r>
          <w:tab/>
        </w:r>
        <w:r>
          <w:fldChar w:fldCharType="begin"/>
        </w:r>
        <w:r>
          <w:instrText xml:space="preserve"> PAGEREF _Toc155082154 \h </w:instrText>
        </w:r>
        <w:r>
          <w:fldChar w:fldCharType="separate"/>
        </w:r>
        <w:r>
          <w:t>4</w:t>
        </w:r>
        <w:r>
          <w:fldChar w:fldCharType="end"/>
        </w:r>
      </w:hyperlink>
    </w:p>
    <w:p w14:paraId="13FA4BE5"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55" w:history="1">
        <w:r>
          <w:rPr>
            <w:rStyle w:val="affffb"/>
          </w:rPr>
          <w:t xml:space="preserve">13  </w:t>
        </w:r>
        <w:r>
          <w:rPr>
            <w:rStyle w:val="affffb"/>
          </w:rPr>
          <w:t>制备布局</w:t>
        </w:r>
        <w:r>
          <w:tab/>
        </w:r>
        <w:r>
          <w:fldChar w:fldCharType="begin"/>
        </w:r>
        <w:r>
          <w:instrText xml:space="preserve"> PAGEREF _Toc155082155 \h </w:instrText>
        </w:r>
        <w:r>
          <w:fldChar w:fldCharType="separate"/>
        </w:r>
        <w:r>
          <w:t>4</w:t>
        </w:r>
        <w:r>
          <w:fldChar w:fldCharType="end"/>
        </w:r>
      </w:hyperlink>
    </w:p>
    <w:p w14:paraId="043E5E32" w14:textId="77777777" w:rsidR="002072FB" w:rsidRDefault="00951B6D">
      <w:pPr>
        <w:pStyle w:val="TOC1"/>
        <w:tabs>
          <w:tab w:val="right" w:leader="dot" w:pos="9344"/>
        </w:tabs>
        <w:rPr>
          <w:rFonts w:asciiTheme="minorHAnsi" w:eastAsiaTheme="minorEastAsia" w:hAnsiTheme="minorHAnsi" w:cstheme="minorBidi" w:hint="eastAsia"/>
          <w:szCs w:val="22"/>
          <w14:ligatures w14:val="standardContextual"/>
        </w:rPr>
      </w:pPr>
      <w:hyperlink w:anchor="_Toc155082156" w:history="1">
        <w:r>
          <w:rPr>
            <w:rStyle w:val="affffb"/>
          </w:rPr>
          <w:t xml:space="preserve">14  </w:t>
        </w:r>
        <w:r>
          <w:rPr>
            <w:rStyle w:val="affffb"/>
          </w:rPr>
          <w:t>设备配置</w:t>
        </w:r>
        <w:r>
          <w:tab/>
        </w:r>
        <w:r>
          <w:fldChar w:fldCharType="begin"/>
        </w:r>
        <w:r>
          <w:instrText xml:space="preserve"> PAGEREF _Toc155082156 \h </w:instrText>
        </w:r>
        <w:r>
          <w:fldChar w:fldCharType="separate"/>
        </w:r>
        <w:r>
          <w:t>4</w:t>
        </w:r>
        <w:r>
          <w:fldChar w:fldCharType="end"/>
        </w:r>
      </w:hyperlink>
    </w:p>
    <w:p w14:paraId="67B05B02" w14:textId="77777777" w:rsidR="002072FB" w:rsidRDefault="00951B6D">
      <w:pPr>
        <w:pStyle w:val="affffffa"/>
        <w:spacing w:after="360"/>
        <w:sectPr w:rsidR="002072FB">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r>
        <w:fldChar w:fldCharType="end"/>
      </w:r>
    </w:p>
    <w:p w14:paraId="73A05A6D" w14:textId="77777777" w:rsidR="002072FB" w:rsidRDefault="00951B6D">
      <w:pPr>
        <w:pStyle w:val="a6"/>
        <w:spacing w:before="900" w:after="360"/>
      </w:pPr>
      <w:bookmarkStart w:id="23" w:name="_Toc155082142"/>
      <w:bookmarkStart w:id="24" w:name="BookMark2"/>
      <w:bookmarkEnd w:id="21"/>
      <w:r>
        <w:rPr>
          <w:spacing w:val="320"/>
        </w:rPr>
        <w:lastRenderedPageBreak/>
        <w:t>前</w:t>
      </w:r>
      <w:r>
        <w:t>言</w:t>
      </w:r>
      <w:bookmarkEnd w:id="22"/>
      <w:bookmarkEnd w:id="23"/>
    </w:p>
    <w:p w14:paraId="69BA0DB8" w14:textId="77777777" w:rsidR="002072FB" w:rsidRDefault="00951B6D">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21AD2B14" w14:textId="77777777" w:rsidR="002072FB" w:rsidRDefault="00951B6D">
      <w:pPr>
        <w:pStyle w:val="afffffffffffa"/>
      </w:pPr>
      <w:r>
        <w:rPr>
          <w:rFonts w:hint="eastAsia"/>
        </w:rPr>
        <w:t>本</w:t>
      </w:r>
      <w:r>
        <w:rPr>
          <w:rFonts w:hint="eastAsia"/>
        </w:rPr>
        <w:t>文件</w:t>
      </w:r>
      <w:r>
        <w:rPr>
          <w:rFonts w:hint="eastAsia"/>
        </w:rPr>
        <w:t>替代</w:t>
      </w:r>
      <w:r>
        <w:rPr>
          <w:rFonts w:hint="eastAsia"/>
        </w:rPr>
        <w:t>T/CSBT 00</w:t>
      </w:r>
      <w:r>
        <w:rPr>
          <w:rFonts w:hint="eastAsia"/>
        </w:rPr>
        <w:t>6</w:t>
      </w:r>
      <w:r>
        <w:rPr>
          <w:rFonts w:hint="eastAsia"/>
        </w:rPr>
        <w:t>—</w:t>
      </w:r>
      <w:r>
        <w:rPr>
          <w:rFonts w:hint="eastAsia"/>
        </w:rPr>
        <w:t xml:space="preserve">2019 </w:t>
      </w:r>
      <w:r>
        <w:rPr>
          <w:rFonts w:hint="eastAsia"/>
        </w:rPr>
        <w:t>《</w:t>
      </w:r>
      <w:r>
        <w:t>血站业务场所建设指南</w:t>
      </w:r>
      <w:r>
        <w:t xml:space="preserve"> </w:t>
      </w:r>
      <w:r>
        <w:t>第</w:t>
      </w:r>
      <w:r>
        <w:t xml:space="preserve"> </w:t>
      </w:r>
      <w:r>
        <w:rPr>
          <w:rFonts w:hint="eastAsia"/>
        </w:rPr>
        <w:t>2</w:t>
      </w:r>
      <w:r>
        <w:t xml:space="preserve"> </w:t>
      </w:r>
      <w:r>
        <w:t>部分：成分制备</w:t>
      </w:r>
      <w:r>
        <w:rPr>
          <w:rFonts w:hint="eastAsia"/>
        </w:rPr>
        <w:t>》，与</w:t>
      </w:r>
      <w:r>
        <w:rPr>
          <w:rFonts w:hint="eastAsia"/>
        </w:rPr>
        <w:t>T/CSBT 00</w:t>
      </w:r>
      <w:r>
        <w:rPr>
          <w:rFonts w:hint="eastAsia"/>
        </w:rPr>
        <w:t>6</w:t>
      </w:r>
      <w:r>
        <w:rPr>
          <w:rFonts w:hint="eastAsia"/>
        </w:rPr>
        <w:t>—</w:t>
      </w:r>
      <w:r>
        <w:rPr>
          <w:rFonts w:hint="eastAsia"/>
        </w:rPr>
        <w:t>2019</w:t>
      </w:r>
      <w:r>
        <w:rPr>
          <w:rFonts w:hint="eastAsia"/>
        </w:rPr>
        <w:t>相比，除结构调整和和编辑性改动外，主要技术变化如下：</w:t>
      </w:r>
    </w:p>
    <w:p w14:paraId="0B5A72F0" w14:textId="77777777" w:rsidR="002072FB" w:rsidRDefault="00951B6D">
      <w:pPr>
        <w:pStyle w:val="afffffffffffa"/>
      </w:pPr>
      <w:r>
        <w:rPr>
          <w:rFonts w:hint="eastAsia"/>
        </w:rPr>
        <w:t>——</w:t>
      </w:r>
      <w:r>
        <w:rPr>
          <w:rFonts w:hint="eastAsia"/>
          <w:szCs w:val="22"/>
        </w:rPr>
        <w:t>将“无粉层”更改为“无粉尘”，“米”更改为“</w:t>
      </w:r>
      <w:r>
        <w:rPr>
          <w:rFonts w:hint="eastAsia"/>
          <w:szCs w:val="22"/>
        </w:rPr>
        <w:t>m</w:t>
      </w:r>
      <w:r>
        <w:rPr>
          <w:rFonts w:hint="eastAsia"/>
          <w:szCs w:val="22"/>
        </w:rPr>
        <w:t>”（见</w:t>
      </w:r>
      <w:r>
        <w:rPr>
          <w:rFonts w:hint="eastAsia"/>
          <w:szCs w:val="22"/>
        </w:rPr>
        <w:t>6.7</w:t>
      </w:r>
      <w:r>
        <w:rPr>
          <w:rFonts w:hint="eastAsia"/>
          <w:szCs w:val="22"/>
        </w:rPr>
        <w:t>，</w:t>
      </w:r>
      <w:r>
        <w:rPr>
          <w:rFonts w:hint="eastAsia"/>
          <w:szCs w:val="22"/>
        </w:rPr>
        <w:t>2019</w:t>
      </w:r>
      <w:r>
        <w:rPr>
          <w:rFonts w:hint="eastAsia"/>
          <w:szCs w:val="22"/>
        </w:rPr>
        <w:t>版的</w:t>
      </w:r>
      <w:r>
        <w:rPr>
          <w:rFonts w:hint="eastAsia"/>
          <w:szCs w:val="22"/>
        </w:rPr>
        <w:t>6.7</w:t>
      </w:r>
      <w:r>
        <w:rPr>
          <w:rFonts w:hint="eastAsia"/>
          <w:szCs w:val="22"/>
        </w:rPr>
        <w:t>）</w:t>
      </w:r>
      <w:r>
        <w:rPr>
          <w:rFonts w:hAnsi="宋体" w:cs="宋体" w:hint="eastAsia"/>
          <w:color w:val="000000"/>
          <w:sz w:val="22"/>
          <w:szCs w:val="22"/>
        </w:rPr>
        <w:t>。</w:t>
      </w:r>
    </w:p>
    <w:p w14:paraId="27F81E68" w14:textId="77777777" w:rsidR="002072FB" w:rsidRDefault="00951B6D">
      <w:pPr>
        <w:pStyle w:val="afffff5"/>
        <w:ind w:firstLine="420"/>
      </w:pPr>
      <w:r>
        <w:rPr>
          <w:rFonts w:hint="eastAsia"/>
        </w:rPr>
        <w:t>请注意本文件的某些内容可能涉及专利。本文件的发布机构不承担识别专利的责任。</w:t>
      </w:r>
    </w:p>
    <w:p w14:paraId="74B33E9D" w14:textId="77777777" w:rsidR="002072FB" w:rsidRDefault="00951B6D">
      <w:pPr>
        <w:pStyle w:val="afffff5"/>
        <w:ind w:firstLine="420"/>
      </w:pPr>
      <w:r>
        <w:rPr>
          <w:rFonts w:hint="eastAsia"/>
        </w:rPr>
        <w:t>本文件由</w:t>
      </w:r>
      <w:r>
        <w:t>中国输血协会血站建设专业委员会</w:t>
      </w:r>
      <w:r>
        <w:rPr>
          <w:rFonts w:hint="eastAsia"/>
        </w:rPr>
        <w:t>提出。</w:t>
      </w:r>
    </w:p>
    <w:p w14:paraId="1B760E24" w14:textId="77777777" w:rsidR="002072FB" w:rsidRDefault="00951B6D">
      <w:pPr>
        <w:pStyle w:val="afffff5"/>
        <w:ind w:firstLine="420"/>
      </w:pPr>
      <w:r>
        <w:rPr>
          <w:rFonts w:hint="eastAsia"/>
        </w:rPr>
        <w:t>本文件由</w:t>
      </w:r>
      <w:r>
        <w:t>中国输血协会</w:t>
      </w:r>
      <w:r>
        <w:rPr>
          <w:rFonts w:hint="eastAsia"/>
        </w:rPr>
        <w:t>血液质量</w:t>
      </w:r>
      <w:r>
        <w:t>专业委员会</w:t>
      </w:r>
      <w:r>
        <w:rPr>
          <w:rFonts w:hint="eastAsia"/>
        </w:rPr>
        <w:t>归口。</w:t>
      </w:r>
    </w:p>
    <w:p w14:paraId="1B092D5C" w14:textId="77777777" w:rsidR="002072FB" w:rsidRDefault="00951B6D">
      <w:pPr>
        <w:pStyle w:val="afffff5"/>
        <w:ind w:firstLine="420"/>
      </w:pPr>
      <w:r>
        <w:rPr>
          <w:rFonts w:hint="eastAsia"/>
        </w:rPr>
        <w:t>本文件起草单位：</w:t>
      </w:r>
      <w:r>
        <w:t>浙江省血液中心、武汉血液中心、上海市血液中心、浙江省现代建筑设计研究院</w:t>
      </w:r>
      <w:r>
        <w:t xml:space="preserve"> </w:t>
      </w:r>
      <w:r>
        <w:t>有限公司、深圳市普特生物医学工程有限公司</w:t>
      </w:r>
      <w:r>
        <w:rPr>
          <w:rFonts w:hint="eastAsia"/>
        </w:rPr>
        <w:t>。</w:t>
      </w:r>
    </w:p>
    <w:p w14:paraId="4A1DD154" w14:textId="77777777" w:rsidR="002072FB" w:rsidRDefault="00951B6D">
      <w:pPr>
        <w:pStyle w:val="afffff5"/>
        <w:ind w:firstLine="420"/>
      </w:pPr>
      <w:r>
        <w:rPr>
          <w:rFonts w:hint="eastAsia"/>
        </w:rPr>
        <w:t>本文件主要起草人：</w:t>
      </w:r>
      <w:r>
        <w:t>胡伟、袁明超、曾国良、</w:t>
      </w:r>
      <w:r>
        <w:rPr>
          <w:rFonts w:hint="eastAsia"/>
        </w:rPr>
        <w:t>陈峰、金立明</w:t>
      </w:r>
      <w:r>
        <w:t>、管珏、潘伟</w:t>
      </w:r>
      <w:r>
        <w:rPr>
          <w:rFonts w:hint="eastAsia"/>
        </w:rPr>
        <w:t>。</w:t>
      </w:r>
    </w:p>
    <w:p w14:paraId="74F4521D" w14:textId="77777777" w:rsidR="002072FB" w:rsidRDefault="00951B6D">
      <w:pPr>
        <w:pStyle w:val="afffff5"/>
        <w:ind w:firstLine="420"/>
        <w:rPr>
          <w:szCs w:val="22"/>
        </w:rPr>
        <w:sectPr w:rsidR="002072FB">
          <w:pgSz w:w="11906" w:h="16838"/>
          <w:pgMar w:top="1928" w:right="1134" w:bottom="1134" w:left="1134" w:header="1418" w:footer="1134" w:gutter="284"/>
          <w:pgNumType w:fmt="upperRoman"/>
          <w:cols w:space="425"/>
          <w:formProt w:val="0"/>
          <w:docGrid w:linePitch="312"/>
        </w:sectPr>
      </w:pPr>
      <w:r>
        <w:rPr>
          <w:rFonts w:hint="eastAsia"/>
          <w:szCs w:val="22"/>
        </w:rPr>
        <w:t>本</w:t>
      </w:r>
      <w:r>
        <w:rPr>
          <w:rFonts w:hint="eastAsia"/>
          <w:szCs w:val="22"/>
        </w:rPr>
        <w:t>文件</w:t>
      </w:r>
      <w:r>
        <w:rPr>
          <w:rFonts w:hint="eastAsia"/>
          <w:szCs w:val="22"/>
        </w:rPr>
        <w:t>于</w:t>
      </w:r>
      <w:r>
        <w:rPr>
          <w:rFonts w:hint="eastAsia"/>
          <w:szCs w:val="22"/>
        </w:rPr>
        <w:t>201</w:t>
      </w:r>
      <w:r>
        <w:rPr>
          <w:rFonts w:hint="eastAsia"/>
          <w:szCs w:val="22"/>
        </w:rPr>
        <w:t>9</w:t>
      </w:r>
      <w:r>
        <w:rPr>
          <w:rFonts w:hint="eastAsia"/>
          <w:szCs w:val="22"/>
        </w:rPr>
        <w:t>年首次发布，本次为第一次修订。</w:t>
      </w:r>
    </w:p>
    <w:p w14:paraId="5BFF1121" w14:textId="77777777" w:rsidR="002072FB" w:rsidRDefault="002072FB">
      <w:pPr>
        <w:spacing w:line="20" w:lineRule="exact"/>
        <w:jc w:val="center"/>
        <w:rPr>
          <w:rFonts w:ascii="黑体" w:eastAsia="黑体" w:hAnsi="黑体" w:hint="eastAsia"/>
          <w:sz w:val="32"/>
          <w:szCs w:val="32"/>
        </w:rPr>
      </w:pPr>
      <w:bookmarkStart w:id="25" w:name="BookMark4"/>
      <w:bookmarkEnd w:id="24"/>
    </w:p>
    <w:p w14:paraId="6340FCB9" w14:textId="77777777" w:rsidR="002072FB" w:rsidRDefault="002072FB">
      <w:pPr>
        <w:spacing w:line="20" w:lineRule="exact"/>
        <w:jc w:val="center"/>
        <w:rPr>
          <w:rFonts w:ascii="黑体" w:eastAsia="黑体" w:hAnsi="黑体" w:hint="eastAsia"/>
          <w:sz w:val="32"/>
          <w:szCs w:val="32"/>
        </w:rPr>
      </w:pPr>
    </w:p>
    <w:bookmarkStart w:id="26" w:name="NEW_STAND_NAME" w:displacedByCustomXml="next"/>
    <w:sdt>
      <w:sdtPr>
        <w:tag w:val="NEW_STAND_NAME"/>
        <w:id w:val="595910757"/>
        <w:lock w:val="sdtLocked"/>
        <w:placeholder>
          <w:docPart w:val="B51E71607D7340F88125EDB025F9BA84"/>
        </w:placeholder>
      </w:sdtPr>
      <w:sdtEndPr/>
      <w:sdtContent>
        <w:p w14:paraId="4F2C27F6" w14:textId="77777777" w:rsidR="002072FB" w:rsidRDefault="00951B6D">
          <w:pPr>
            <w:pStyle w:val="afffffffff8"/>
            <w:spacing w:beforeLines="100" w:before="240" w:afterLines="220" w:after="528"/>
            <w:rPr>
              <w:rFonts w:hint="eastAsia"/>
            </w:rPr>
          </w:pPr>
          <w:r>
            <w:rPr>
              <w:rFonts w:hint="eastAsia"/>
            </w:rPr>
            <w:t>血站业务场所建设指南</w:t>
          </w:r>
          <w:r>
            <w:t xml:space="preserve"> </w:t>
          </w:r>
          <w:r>
            <w:t>第</w:t>
          </w:r>
          <w:r>
            <w:t>2</w:t>
          </w:r>
          <w:r>
            <w:t>部分：成分制备</w:t>
          </w:r>
        </w:p>
      </w:sdtContent>
    </w:sdt>
    <w:p w14:paraId="6C05F1A4" w14:textId="77777777" w:rsidR="002072FB" w:rsidRDefault="00951B6D">
      <w:pPr>
        <w:pStyle w:val="affc"/>
        <w:spacing w:before="240" w:after="240"/>
      </w:pPr>
      <w:bookmarkStart w:id="27" w:name="_Toc24884218"/>
      <w:bookmarkStart w:id="28" w:name="_Toc24884211"/>
      <w:bookmarkStart w:id="29" w:name="_Toc26648465"/>
      <w:bookmarkStart w:id="30" w:name="_Toc26986530"/>
      <w:bookmarkStart w:id="31" w:name="_Toc155082103"/>
      <w:bookmarkStart w:id="32" w:name="_Toc97192964"/>
      <w:bookmarkStart w:id="33" w:name="_Toc26986771"/>
      <w:bookmarkStart w:id="34" w:name="_Toc26718930"/>
      <w:bookmarkStart w:id="35" w:name="_Toc17233325"/>
      <w:bookmarkStart w:id="36" w:name="_Toc155082143"/>
      <w:bookmarkStart w:id="37" w:name="_Toc17233333"/>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14:paraId="3B140249" w14:textId="77777777" w:rsidR="002072FB" w:rsidRDefault="00951B6D">
      <w:pPr>
        <w:pStyle w:val="afffff5"/>
        <w:ind w:firstLine="420"/>
      </w:pPr>
      <w:bookmarkStart w:id="38" w:name="_Toc24884212"/>
      <w:bookmarkStart w:id="39" w:name="_Toc17233326"/>
      <w:bookmarkStart w:id="40" w:name="_Toc26648466"/>
      <w:bookmarkStart w:id="41" w:name="_Toc17233334"/>
      <w:bookmarkStart w:id="42" w:name="_Toc24884219"/>
      <w:r>
        <w:t>为了规范血站成分血制备场所的建筑设计、设备配置等，满足血液成分制备功能需要，符合安全、卫生、经济、舒适、节能和环保等方面的要求，制定本</w:t>
      </w:r>
      <w:r>
        <w:rPr>
          <w:rFonts w:hint="eastAsia"/>
        </w:rPr>
        <w:t>文件</w:t>
      </w:r>
      <w:r>
        <w:t>。</w:t>
      </w:r>
    </w:p>
    <w:p w14:paraId="09A87EF8" w14:textId="77777777" w:rsidR="002072FB" w:rsidRDefault="00951B6D">
      <w:pPr>
        <w:pStyle w:val="afffff5"/>
        <w:ind w:firstLine="420"/>
      </w:pPr>
      <w:r>
        <w:t>本</w:t>
      </w:r>
      <w:r>
        <w:rPr>
          <w:rFonts w:hint="eastAsia"/>
        </w:rPr>
        <w:t>文件</w:t>
      </w:r>
      <w:r>
        <w:t>适用于血站成分血制备场所的建设，包括新建、改建和扩建项目。</w:t>
      </w:r>
    </w:p>
    <w:p w14:paraId="201B9868" w14:textId="77777777" w:rsidR="002072FB" w:rsidRDefault="00951B6D">
      <w:pPr>
        <w:pStyle w:val="affc"/>
        <w:spacing w:before="240" w:after="240"/>
      </w:pPr>
      <w:bookmarkStart w:id="43" w:name="_Toc26986772"/>
      <w:bookmarkStart w:id="44" w:name="_Toc26718931"/>
      <w:bookmarkStart w:id="45" w:name="_Toc97192965"/>
      <w:bookmarkStart w:id="46" w:name="_Toc155082144"/>
      <w:bookmarkStart w:id="47" w:name="_Toc26986531"/>
      <w:bookmarkStart w:id="48" w:name="_Toc155082104"/>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7D6ABD98E1D74A2D8561E798FBF0338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DB29CFB" w14:textId="77777777" w:rsidR="002072FB" w:rsidRDefault="00951B6D">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83D22CD" w14:textId="77777777" w:rsidR="002072FB" w:rsidRDefault="00951B6D">
      <w:pPr>
        <w:pStyle w:val="afffff5"/>
        <w:ind w:firstLine="420"/>
      </w:pPr>
      <w:r>
        <w:t xml:space="preserve">GB 15982 </w:t>
      </w:r>
      <w:r>
        <w:t>医院消毒卫生标准</w:t>
      </w:r>
    </w:p>
    <w:p w14:paraId="4C6CCF3D" w14:textId="77777777" w:rsidR="002072FB" w:rsidRDefault="00951B6D">
      <w:pPr>
        <w:pStyle w:val="afffff5"/>
        <w:ind w:firstLine="420"/>
      </w:pPr>
      <w:r>
        <w:t xml:space="preserve">GB 50016 </w:t>
      </w:r>
      <w:r>
        <w:t>建筑设计防火规范</w:t>
      </w:r>
    </w:p>
    <w:p w14:paraId="05573CEB" w14:textId="77777777" w:rsidR="002072FB" w:rsidRDefault="00951B6D">
      <w:pPr>
        <w:pStyle w:val="afffff5"/>
        <w:ind w:firstLine="420"/>
      </w:pPr>
      <w:r>
        <w:t xml:space="preserve">GB/T 18883 </w:t>
      </w:r>
      <w:r>
        <w:t>室内空气质量标准</w:t>
      </w:r>
    </w:p>
    <w:p w14:paraId="7EC8AA1B" w14:textId="77777777" w:rsidR="002072FB" w:rsidRDefault="00951B6D">
      <w:pPr>
        <w:pStyle w:val="afffff5"/>
        <w:ind w:firstLine="420"/>
      </w:pPr>
      <w:r>
        <w:t xml:space="preserve">WS/T 367 </w:t>
      </w:r>
      <w:r>
        <w:t>医疗机构消毒技术规范</w:t>
      </w:r>
    </w:p>
    <w:p w14:paraId="7332CA7D" w14:textId="77777777" w:rsidR="002072FB" w:rsidRDefault="00951B6D">
      <w:pPr>
        <w:pStyle w:val="afffff5"/>
        <w:ind w:firstLine="420"/>
      </w:pPr>
      <w:r>
        <w:t xml:space="preserve">WS 308 </w:t>
      </w:r>
      <w:r>
        <w:t>医疗机构消防安全管理</w:t>
      </w:r>
    </w:p>
    <w:p w14:paraId="7E8F00D6" w14:textId="77777777" w:rsidR="002072FB" w:rsidRDefault="00951B6D">
      <w:pPr>
        <w:pStyle w:val="afffff5"/>
        <w:ind w:firstLine="420"/>
      </w:pPr>
      <w:r>
        <w:t xml:space="preserve">WS 436 </w:t>
      </w:r>
      <w:r>
        <w:t>医院二次供水运行管理</w:t>
      </w:r>
    </w:p>
    <w:p w14:paraId="4F201371" w14:textId="77777777" w:rsidR="002072FB" w:rsidRDefault="00951B6D">
      <w:pPr>
        <w:pStyle w:val="afffff5"/>
        <w:ind w:firstLine="420"/>
      </w:pPr>
      <w:r>
        <w:t xml:space="preserve">JGJ312 </w:t>
      </w:r>
      <w:r>
        <w:t>医疗建筑电气设计规范</w:t>
      </w:r>
    </w:p>
    <w:p w14:paraId="1C96C014" w14:textId="77777777" w:rsidR="002072FB" w:rsidRDefault="00951B6D">
      <w:pPr>
        <w:pStyle w:val="affc"/>
        <w:spacing w:before="240" w:after="240"/>
      </w:pPr>
      <w:bookmarkStart w:id="49" w:name="_Toc97192966"/>
      <w:bookmarkStart w:id="50" w:name="_Toc155082145"/>
      <w:bookmarkStart w:id="51" w:name="_Toc155082105"/>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E9F90FD2D8194C78AD8618AA12E9A99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5E537390" w14:textId="77777777" w:rsidR="002072FB" w:rsidRDefault="00951B6D">
          <w:pPr>
            <w:pStyle w:val="afffff5"/>
            <w:ind w:firstLine="420"/>
          </w:pPr>
          <w:r>
            <w:t>下列术语和定义适用于本文件。</w:t>
          </w:r>
        </w:p>
      </w:sdtContent>
    </w:sdt>
    <w:p w14:paraId="42855346" w14:textId="77777777" w:rsidR="002072FB" w:rsidRDefault="00951B6D">
      <w:pPr>
        <w:pStyle w:val="affd"/>
        <w:spacing w:before="120" w:after="120"/>
      </w:pPr>
      <w:bookmarkStart w:id="53" w:name="_Toc155082106"/>
      <w:r>
        <w:t>血液滤白区</w:t>
      </w:r>
      <w:bookmarkEnd w:id="53"/>
    </w:p>
    <w:p w14:paraId="0FD876DB" w14:textId="77777777" w:rsidR="002072FB" w:rsidRDefault="00951B6D">
      <w:pPr>
        <w:pStyle w:val="afffff5"/>
        <w:ind w:firstLine="420"/>
      </w:pPr>
      <w:r>
        <w:t>对血液进行白细胞过滤的制备区域。</w:t>
      </w:r>
    </w:p>
    <w:p w14:paraId="7E545B8A" w14:textId="77777777" w:rsidR="002072FB" w:rsidRDefault="00951B6D">
      <w:pPr>
        <w:pStyle w:val="affd"/>
        <w:spacing w:before="120" w:after="120"/>
      </w:pPr>
      <w:bookmarkStart w:id="54" w:name="_Toc155082107"/>
      <w:r>
        <w:t>血液离心区</w:t>
      </w:r>
      <w:bookmarkEnd w:id="54"/>
    </w:p>
    <w:p w14:paraId="0548AEE1" w14:textId="77777777" w:rsidR="002072FB" w:rsidRDefault="00951B6D">
      <w:pPr>
        <w:pStyle w:val="afffff5"/>
        <w:ind w:firstLine="420"/>
      </w:pPr>
      <w:r>
        <w:t>对全血或成分血进行离心的制备区域。</w:t>
      </w:r>
    </w:p>
    <w:p w14:paraId="50699706" w14:textId="77777777" w:rsidR="002072FB" w:rsidRDefault="00951B6D">
      <w:pPr>
        <w:pStyle w:val="affd"/>
        <w:spacing w:before="120" w:after="120"/>
      </w:pPr>
      <w:bookmarkStart w:id="55" w:name="_Toc155082108"/>
      <w:r>
        <w:t>血液分离区</w:t>
      </w:r>
      <w:bookmarkEnd w:id="55"/>
    </w:p>
    <w:p w14:paraId="7DD39E3D" w14:textId="77777777" w:rsidR="002072FB" w:rsidRDefault="00951B6D">
      <w:pPr>
        <w:pStyle w:val="afffff5"/>
        <w:ind w:firstLine="420"/>
      </w:pPr>
      <w:r>
        <w:t>对血液进行分离的制备区域。</w:t>
      </w:r>
    </w:p>
    <w:p w14:paraId="3A6A7AEE" w14:textId="77777777" w:rsidR="002072FB" w:rsidRDefault="00951B6D">
      <w:pPr>
        <w:pStyle w:val="affd"/>
        <w:spacing w:before="120" w:after="120"/>
      </w:pPr>
      <w:bookmarkStart w:id="56" w:name="_Toc155082109"/>
      <w:r>
        <w:t>速冻区</w:t>
      </w:r>
      <w:bookmarkEnd w:id="56"/>
    </w:p>
    <w:p w14:paraId="21FABE2D" w14:textId="77777777" w:rsidR="002072FB" w:rsidRDefault="00951B6D">
      <w:pPr>
        <w:pStyle w:val="afffff5"/>
        <w:ind w:firstLine="420"/>
      </w:pPr>
      <w:r>
        <w:t>对血浆制品进行速冻的制备区域。</w:t>
      </w:r>
    </w:p>
    <w:p w14:paraId="2B5E834A" w14:textId="77777777" w:rsidR="002072FB" w:rsidRDefault="00951B6D">
      <w:pPr>
        <w:pStyle w:val="affd"/>
        <w:spacing w:before="120" w:after="120"/>
      </w:pPr>
      <w:bookmarkStart w:id="57" w:name="_Toc155082110"/>
      <w:r>
        <w:t>病毒灭活区</w:t>
      </w:r>
      <w:bookmarkEnd w:id="57"/>
    </w:p>
    <w:p w14:paraId="63DF7789" w14:textId="77777777" w:rsidR="002072FB" w:rsidRDefault="00951B6D">
      <w:pPr>
        <w:pStyle w:val="afffff5"/>
        <w:ind w:firstLine="420"/>
      </w:pPr>
      <w:r>
        <w:t>对血浆进行病毒灭活的制备区域，含穿刺或接驳、光照、过滤等。</w:t>
      </w:r>
    </w:p>
    <w:p w14:paraId="0EF9B1D1" w14:textId="77777777" w:rsidR="002072FB" w:rsidRDefault="00951B6D">
      <w:pPr>
        <w:pStyle w:val="affd"/>
        <w:spacing w:before="120" w:after="120"/>
      </w:pPr>
      <w:bookmarkStart w:id="58" w:name="_Toc155082111"/>
      <w:r>
        <w:t>冷沉淀凝血因子制备区</w:t>
      </w:r>
      <w:bookmarkEnd w:id="58"/>
    </w:p>
    <w:p w14:paraId="1C2759BF" w14:textId="77777777" w:rsidR="002072FB" w:rsidRDefault="00951B6D">
      <w:pPr>
        <w:pStyle w:val="afffff5"/>
        <w:ind w:firstLine="420"/>
      </w:pPr>
      <w:r>
        <w:t>对新鲜冰冻血浆进行融化制备冷沉淀凝血因子的制备区域。</w:t>
      </w:r>
    </w:p>
    <w:p w14:paraId="2CAABE6B" w14:textId="77777777" w:rsidR="002072FB" w:rsidRDefault="00951B6D">
      <w:pPr>
        <w:pStyle w:val="affd"/>
        <w:spacing w:before="120" w:after="120"/>
      </w:pPr>
      <w:bookmarkStart w:id="59" w:name="_Toc155082112"/>
      <w:r>
        <w:t>冰冻红细胞和冰冻解冻去甘油红细胞制备区</w:t>
      </w:r>
      <w:bookmarkEnd w:id="59"/>
    </w:p>
    <w:p w14:paraId="2D57D408" w14:textId="77777777" w:rsidR="002072FB" w:rsidRDefault="00951B6D">
      <w:pPr>
        <w:pStyle w:val="afffff5"/>
        <w:ind w:firstLine="420"/>
      </w:pPr>
      <w:r>
        <w:t>对红细胞进行加甘油冰冻和解冻去甘油的制备区域。</w:t>
      </w:r>
    </w:p>
    <w:p w14:paraId="1D6E037C" w14:textId="77777777" w:rsidR="002072FB" w:rsidRDefault="00951B6D">
      <w:pPr>
        <w:pStyle w:val="affd"/>
        <w:spacing w:before="120" w:after="120"/>
      </w:pPr>
      <w:bookmarkStart w:id="60" w:name="_Toc155082113"/>
      <w:r>
        <w:t>洗涤红细胞制备区</w:t>
      </w:r>
      <w:bookmarkEnd w:id="60"/>
    </w:p>
    <w:p w14:paraId="208877F4" w14:textId="77777777" w:rsidR="002072FB" w:rsidRDefault="00951B6D">
      <w:pPr>
        <w:pStyle w:val="afffff5"/>
        <w:ind w:firstLine="420"/>
      </w:pPr>
      <w:r>
        <w:t>对红细胞进行洗涤的制备区域。</w:t>
      </w:r>
    </w:p>
    <w:p w14:paraId="2E6E7F31" w14:textId="77777777" w:rsidR="002072FB" w:rsidRDefault="00951B6D">
      <w:pPr>
        <w:pStyle w:val="affd"/>
        <w:spacing w:before="120" w:after="120"/>
      </w:pPr>
      <w:bookmarkStart w:id="61" w:name="_Toc155082114"/>
      <w:r>
        <w:lastRenderedPageBreak/>
        <w:t>(</w:t>
      </w:r>
      <w:r>
        <w:t>混合</w:t>
      </w:r>
      <w:r>
        <w:t>)</w:t>
      </w:r>
      <w:r>
        <w:t>浓缩血小板制备区</w:t>
      </w:r>
      <w:bookmarkEnd w:id="61"/>
    </w:p>
    <w:p w14:paraId="60125370" w14:textId="77777777" w:rsidR="002072FB" w:rsidRDefault="00951B6D">
      <w:pPr>
        <w:pStyle w:val="afffff5"/>
        <w:ind w:firstLine="420"/>
      </w:pPr>
      <w:r>
        <w:t>对全血进行浓缩血小板分离和混合的制备区域。</w:t>
      </w:r>
    </w:p>
    <w:p w14:paraId="3A17EB52" w14:textId="77777777" w:rsidR="002072FB" w:rsidRDefault="00951B6D">
      <w:pPr>
        <w:pStyle w:val="affd"/>
        <w:spacing w:before="120" w:after="120"/>
      </w:pPr>
      <w:bookmarkStart w:id="62" w:name="_Toc155082115"/>
      <w:r>
        <w:t>血液辐照区</w:t>
      </w:r>
      <w:bookmarkEnd w:id="62"/>
    </w:p>
    <w:p w14:paraId="42AB7764" w14:textId="77777777" w:rsidR="002072FB" w:rsidRDefault="00951B6D">
      <w:pPr>
        <w:pStyle w:val="afffff5"/>
        <w:ind w:firstLine="420"/>
      </w:pPr>
      <w:r>
        <w:t>对红细胞、血小板、粒细胞等血液制剂进行辐照的制备区域。</w:t>
      </w:r>
    </w:p>
    <w:p w14:paraId="470FFF8F" w14:textId="77777777" w:rsidR="002072FB" w:rsidRDefault="00951B6D">
      <w:pPr>
        <w:pStyle w:val="affd"/>
        <w:spacing w:before="120" w:after="120"/>
      </w:pPr>
      <w:bookmarkStart w:id="63" w:name="_Toc155082116"/>
      <w:r>
        <w:t>进一步加工</w:t>
      </w:r>
      <w:bookmarkEnd w:id="63"/>
    </w:p>
    <w:p w14:paraId="4BCBEEAF" w14:textId="77777777" w:rsidR="002072FB" w:rsidRDefault="00951B6D">
      <w:pPr>
        <w:pStyle w:val="afffff5"/>
        <w:ind w:firstLine="420"/>
      </w:pPr>
      <w:r>
        <w:t>全血经离心分为血浆和悬浮红细胞后，再以相关成分血作为起始原料，制备其他血液成分血的过程。</w:t>
      </w:r>
    </w:p>
    <w:p w14:paraId="69909254" w14:textId="77777777" w:rsidR="002072FB" w:rsidRDefault="00951B6D">
      <w:pPr>
        <w:pStyle w:val="affc"/>
        <w:spacing w:before="240" w:after="240"/>
      </w:pPr>
      <w:bookmarkStart w:id="64" w:name="_Toc155082146"/>
      <w:bookmarkStart w:id="65" w:name="_Toc155082117"/>
      <w:r>
        <w:t>规模等级划分</w:t>
      </w:r>
      <w:bookmarkEnd w:id="64"/>
      <w:bookmarkEnd w:id="65"/>
    </w:p>
    <w:p w14:paraId="6A4A89CA" w14:textId="77777777" w:rsidR="002072FB" w:rsidRDefault="00951B6D">
      <w:pPr>
        <w:pStyle w:val="affd"/>
        <w:spacing w:before="120" w:after="120"/>
      </w:pPr>
      <w:bookmarkStart w:id="66" w:name="_Toc155082118"/>
      <w:r>
        <w:t>小型成分制备场所</w:t>
      </w:r>
      <w:bookmarkEnd w:id="66"/>
    </w:p>
    <w:p w14:paraId="4894EC17" w14:textId="77777777" w:rsidR="002072FB" w:rsidRDefault="00951B6D">
      <w:pPr>
        <w:pStyle w:val="afffff5"/>
        <w:ind w:firstLine="420"/>
      </w:pPr>
      <w:r>
        <w:t>按年分离红细胞小于</w:t>
      </w:r>
      <w:r>
        <w:t>50000U</w:t>
      </w:r>
      <w:r>
        <w:t>，日分离红细胞小于</w:t>
      </w:r>
      <w:r>
        <w:t>100</w:t>
      </w:r>
      <w:r>
        <w:t>袋。</w:t>
      </w:r>
    </w:p>
    <w:p w14:paraId="143202CD" w14:textId="77777777" w:rsidR="002072FB" w:rsidRDefault="00951B6D">
      <w:pPr>
        <w:pStyle w:val="affd"/>
        <w:spacing w:before="120" w:after="120"/>
      </w:pPr>
      <w:bookmarkStart w:id="67" w:name="_Toc155082119"/>
      <w:r>
        <w:t>中型成分制备场所</w:t>
      </w:r>
      <w:bookmarkEnd w:id="67"/>
    </w:p>
    <w:p w14:paraId="5DA24125" w14:textId="77777777" w:rsidR="002072FB" w:rsidRDefault="00951B6D">
      <w:pPr>
        <w:pStyle w:val="afffff5"/>
        <w:ind w:firstLine="420"/>
      </w:pPr>
      <w:r>
        <w:t>按年分离红细胞</w:t>
      </w:r>
      <w:r>
        <w:t>50000</w:t>
      </w:r>
      <w:r>
        <w:t>～</w:t>
      </w:r>
      <w:r>
        <w:t>150000U</w:t>
      </w:r>
      <w:r>
        <w:t>，日分离红细胞</w:t>
      </w:r>
      <w:r>
        <w:t>100</w:t>
      </w:r>
      <w:r>
        <w:t>～</w:t>
      </w:r>
      <w:r>
        <w:t>300</w:t>
      </w:r>
      <w:r>
        <w:t>袋。</w:t>
      </w:r>
    </w:p>
    <w:p w14:paraId="34AA1E01" w14:textId="77777777" w:rsidR="002072FB" w:rsidRDefault="00951B6D">
      <w:pPr>
        <w:pStyle w:val="affd"/>
        <w:spacing w:before="120" w:after="120"/>
      </w:pPr>
      <w:bookmarkStart w:id="68" w:name="_Toc155082120"/>
      <w:r>
        <w:t>大型成分制备场所</w:t>
      </w:r>
      <w:bookmarkEnd w:id="68"/>
    </w:p>
    <w:p w14:paraId="7D4DE5F9" w14:textId="77777777" w:rsidR="002072FB" w:rsidRDefault="00951B6D">
      <w:pPr>
        <w:pStyle w:val="afffff5"/>
        <w:ind w:firstLine="420"/>
      </w:pPr>
      <w:r>
        <w:t>按年分离红细胞</w:t>
      </w:r>
      <w:r>
        <w:t>150000</w:t>
      </w:r>
      <w:r>
        <w:t>～</w:t>
      </w:r>
      <w:r>
        <w:t>250000U</w:t>
      </w:r>
      <w:r>
        <w:t>，日分离红细胞</w:t>
      </w:r>
      <w:r>
        <w:t>300</w:t>
      </w:r>
      <w:r>
        <w:t>～</w:t>
      </w:r>
      <w:r>
        <w:t>500</w:t>
      </w:r>
      <w:r>
        <w:t>袋。</w:t>
      </w:r>
    </w:p>
    <w:p w14:paraId="307C8AF4" w14:textId="77777777" w:rsidR="002072FB" w:rsidRDefault="00951B6D">
      <w:pPr>
        <w:pStyle w:val="affd"/>
        <w:spacing w:before="120" w:after="120"/>
      </w:pPr>
      <w:bookmarkStart w:id="69" w:name="_Toc155082121"/>
      <w:r>
        <w:t>超大型成分制备场所</w:t>
      </w:r>
      <w:bookmarkEnd w:id="69"/>
    </w:p>
    <w:p w14:paraId="34EB721B" w14:textId="77777777" w:rsidR="002072FB" w:rsidRDefault="00951B6D">
      <w:pPr>
        <w:pStyle w:val="afffff5"/>
        <w:ind w:firstLine="420"/>
      </w:pPr>
      <w:r>
        <w:t>按年分离红细胞大于</w:t>
      </w:r>
      <w:r>
        <w:t>250000U</w:t>
      </w:r>
      <w:r>
        <w:t>，日分离红细胞大于</w:t>
      </w:r>
      <w:r>
        <w:t>500</w:t>
      </w:r>
      <w:r>
        <w:t>袋</w:t>
      </w:r>
      <w:r>
        <w:rPr>
          <w:rFonts w:hint="eastAsia"/>
        </w:rPr>
        <w:t>。</w:t>
      </w:r>
    </w:p>
    <w:p w14:paraId="478549E1" w14:textId="77777777" w:rsidR="002072FB" w:rsidRDefault="00951B6D">
      <w:pPr>
        <w:pStyle w:val="affc"/>
        <w:spacing w:before="240" w:after="240"/>
      </w:pPr>
      <w:bookmarkStart w:id="70" w:name="_Toc155082147"/>
      <w:bookmarkStart w:id="71" w:name="_Toc155082122"/>
      <w:r>
        <w:t>使用面积指标</w:t>
      </w:r>
      <w:bookmarkEnd w:id="70"/>
      <w:bookmarkEnd w:id="71"/>
      <w:r>
        <w:rPr>
          <w:rStyle w:val="affffc"/>
        </w:rPr>
        <w:footnoteReference w:id="1"/>
      </w:r>
      <w:r>
        <w:rPr>
          <w:rStyle w:val="affffc"/>
        </w:rPr>
        <w:t>)</w:t>
      </w:r>
    </w:p>
    <w:p w14:paraId="5F700EEF" w14:textId="77777777" w:rsidR="002072FB" w:rsidRDefault="00951B6D">
      <w:pPr>
        <w:pStyle w:val="affd"/>
        <w:spacing w:before="120" w:after="120"/>
      </w:pPr>
      <w:bookmarkStart w:id="72" w:name="_Toc155082123"/>
      <w:r>
        <w:t>场所划分</w:t>
      </w:r>
      <w:bookmarkEnd w:id="72"/>
    </w:p>
    <w:p w14:paraId="68F9CAA0" w14:textId="77777777" w:rsidR="002072FB" w:rsidRDefault="00951B6D">
      <w:pPr>
        <w:pStyle w:val="afffff5"/>
        <w:ind w:firstLineChars="95" w:firstLine="199"/>
      </w:pPr>
      <w:r>
        <w:t>本项目面积按开展全部进一步加工项目测算，实际建设中请根据自身业务开展情况进行配备。</w:t>
      </w:r>
    </w:p>
    <w:p w14:paraId="51DF5A3B" w14:textId="77777777" w:rsidR="002072FB" w:rsidRDefault="00951B6D">
      <w:pPr>
        <w:pStyle w:val="afffff5"/>
        <w:ind w:firstLineChars="95" w:firstLine="199"/>
      </w:pPr>
      <w:r>
        <w:t>楼层宜选择</w:t>
      </w:r>
      <w:r>
        <w:t>1</w:t>
      </w:r>
      <w:r>
        <w:t>～</w:t>
      </w:r>
      <w:r>
        <w:t>3</w:t>
      </w:r>
      <w:r>
        <w:t>楼同层布局，高层建筑不超过</w:t>
      </w:r>
      <w:r>
        <w:t>5</w:t>
      </w:r>
      <w:r>
        <w:t>楼。分为：业务用房、行政用房、保障用房三类。</w:t>
      </w:r>
    </w:p>
    <w:p w14:paraId="009557D0" w14:textId="77777777" w:rsidR="002072FB" w:rsidRDefault="00951B6D">
      <w:pPr>
        <w:pStyle w:val="afffff5"/>
        <w:ind w:firstLineChars="95" w:firstLine="199"/>
      </w:pPr>
      <w:r>
        <w:t>业务用房包括：血液滤白区、血液离心区、血液分离区、速冻区、病毒灭活区、冷沉淀凝血因子制备区、冰冻红细胞和冰冻解冻去甘油红细胞制备区、洗涤红细胞制备区、（混合）浓缩血小板制备区、血液辐照区等。</w:t>
      </w:r>
    </w:p>
    <w:p w14:paraId="7C5679E3" w14:textId="77777777" w:rsidR="002072FB" w:rsidRDefault="00951B6D">
      <w:pPr>
        <w:pStyle w:val="afffff5"/>
        <w:ind w:firstLineChars="95" w:firstLine="199"/>
      </w:pPr>
      <w:r>
        <w:t>行政用房（工作人员办公、生活用房）包括：工作人员办公区域、会议培训区域、更衣区域等。</w:t>
      </w:r>
    </w:p>
    <w:p w14:paraId="1C8EE391" w14:textId="77777777" w:rsidR="002072FB" w:rsidRDefault="00951B6D">
      <w:pPr>
        <w:pStyle w:val="afffff5"/>
        <w:ind w:firstLineChars="95" w:firstLine="199"/>
      </w:pPr>
      <w:r>
        <w:t>保障用房（辅助用房）包括：关键物料库房、关键设备库房等。</w:t>
      </w:r>
    </w:p>
    <w:p w14:paraId="30BCF87C" w14:textId="77777777" w:rsidR="002072FB" w:rsidRDefault="00951B6D">
      <w:pPr>
        <w:pStyle w:val="afffff5"/>
        <w:ind w:firstLineChars="95" w:firstLine="199"/>
      </w:pPr>
      <w:r>
        <w:t>业务区与办公、生活区应严格分开。</w:t>
      </w:r>
    </w:p>
    <w:p w14:paraId="5C957979" w14:textId="77777777" w:rsidR="002072FB" w:rsidRDefault="00951B6D">
      <w:pPr>
        <w:pStyle w:val="affd"/>
        <w:spacing w:before="120" w:after="120"/>
      </w:pPr>
      <w:bookmarkStart w:id="73" w:name="_Toc155082124"/>
      <w:r>
        <w:t>场所面积指标</w:t>
      </w:r>
      <w:bookmarkEnd w:id="73"/>
    </w:p>
    <w:p w14:paraId="6D61FB49" w14:textId="77777777" w:rsidR="002072FB" w:rsidRDefault="00951B6D">
      <w:pPr>
        <w:pStyle w:val="affe"/>
        <w:spacing w:before="120" w:after="120"/>
      </w:pPr>
      <w:r>
        <w:t>小型成分制备场所</w:t>
      </w:r>
    </w:p>
    <w:p w14:paraId="62F201AC" w14:textId="77777777" w:rsidR="002072FB" w:rsidRDefault="00951B6D">
      <w:pPr>
        <w:pStyle w:val="afffff5"/>
        <w:ind w:firstLine="420"/>
      </w:pPr>
      <w:r>
        <w:t>含待检库、成分分离。使用面积宜</w:t>
      </w:r>
      <w:r>
        <w:t>160m</w:t>
      </w:r>
      <w:r>
        <w:rPr>
          <w:rFonts w:hAnsi="宋体" w:hint="eastAsia"/>
        </w:rPr>
        <w:t>²</w:t>
      </w:r>
      <w:r>
        <w:t>～</w:t>
      </w:r>
      <w:r>
        <w:t>250m</w:t>
      </w:r>
      <w:r>
        <w:rPr>
          <w:rFonts w:hAnsi="宋体" w:hint="eastAsia"/>
        </w:rPr>
        <w:t>²</w:t>
      </w:r>
      <w:r>
        <w:t>，其中业务用房面积宜</w:t>
      </w:r>
      <w:r>
        <w:t>140m</w:t>
      </w:r>
      <w:r>
        <w:rPr>
          <w:rFonts w:hAnsi="宋体" w:hint="eastAsia"/>
        </w:rPr>
        <w:t>²</w:t>
      </w:r>
      <w:r>
        <w:t>～</w:t>
      </w:r>
      <w:r>
        <w:t>220m</w:t>
      </w:r>
      <w:r>
        <w:rPr>
          <w:rFonts w:hAnsi="宋体" w:hint="eastAsia"/>
        </w:rPr>
        <w:t>²</w:t>
      </w:r>
      <w:r>
        <w:t>，行政用房宜</w:t>
      </w:r>
      <w:r>
        <w:t>10m</w:t>
      </w:r>
      <w:r>
        <w:rPr>
          <w:rFonts w:hAnsi="宋体" w:hint="eastAsia"/>
        </w:rPr>
        <w:t>²</w:t>
      </w:r>
      <w:r>
        <w:t>～</w:t>
      </w:r>
      <w:r>
        <w:t>20m</w:t>
      </w:r>
      <w:r>
        <w:rPr>
          <w:rFonts w:hAnsi="宋体" w:hint="eastAsia"/>
        </w:rPr>
        <w:t>²</w:t>
      </w:r>
      <w:r>
        <w:t>，保障用房宜</w:t>
      </w:r>
      <w:r>
        <w:t>10m</w:t>
      </w:r>
      <w:r>
        <w:rPr>
          <w:rFonts w:hAnsi="宋体" w:hint="eastAsia"/>
        </w:rPr>
        <w:t>²</w:t>
      </w:r>
      <w:r>
        <w:t>。</w:t>
      </w:r>
    </w:p>
    <w:p w14:paraId="793721E3" w14:textId="77777777" w:rsidR="002072FB" w:rsidRDefault="00951B6D">
      <w:pPr>
        <w:pStyle w:val="affe"/>
        <w:spacing w:before="120" w:after="120"/>
      </w:pPr>
      <w:r>
        <w:t>中型成分制备场所</w:t>
      </w:r>
    </w:p>
    <w:p w14:paraId="531BEBB6" w14:textId="77777777" w:rsidR="002072FB" w:rsidRDefault="00951B6D">
      <w:pPr>
        <w:pStyle w:val="afffff5"/>
        <w:ind w:firstLine="420"/>
      </w:pPr>
      <w:r>
        <w:t>含待检库、成分分离（可独立）。使用面积宜</w:t>
      </w:r>
      <w:r>
        <w:t>250m</w:t>
      </w:r>
      <w:r>
        <w:rPr>
          <w:rFonts w:hAnsi="宋体" w:hint="eastAsia"/>
        </w:rPr>
        <w:t>²</w:t>
      </w:r>
      <w:r>
        <w:t>～</w:t>
      </w:r>
      <w:r>
        <w:t>420m</w:t>
      </w:r>
      <w:r>
        <w:rPr>
          <w:rFonts w:hAnsi="宋体" w:hint="eastAsia"/>
        </w:rPr>
        <w:t>²</w:t>
      </w:r>
      <w:r>
        <w:t>，其中业务用房面积宜</w:t>
      </w:r>
      <w:r>
        <w:t>220m</w:t>
      </w:r>
      <w:r>
        <w:t>²</w:t>
      </w:r>
      <w:r>
        <w:t>～</w:t>
      </w:r>
      <w:r>
        <w:t>360m</w:t>
      </w:r>
      <w:r>
        <w:t>²</w:t>
      </w:r>
      <w:r>
        <w:t>，行政用房宜</w:t>
      </w:r>
      <w:r>
        <w:t>20m</w:t>
      </w:r>
      <w:r>
        <w:t>²</w:t>
      </w:r>
      <w:r>
        <w:t>～</w:t>
      </w:r>
      <w:r>
        <w:t>40m</w:t>
      </w:r>
      <w:r>
        <w:t>²</w:t>
      </w:r>
      <w:r>
        <w:t>，保障用房宜</w:t>
      </w:r>
      <w:r>
        <w:t>10m</w:t>
      </w:r>
      <w:r>
        <w:t>²</w:t>
      </w:r>
      <w:r>
        <w:t>～</w:t>
      </w:r>
      <w:r>
        <w:t>20m</w:t>
      </w:r>
      <w:r>
        <w:rPr>
          <w:rFonts w:hAnsi="宋体" w:hint="eastAsia"/>
        </w:rPr>
        <w:t>²</w:t>
      </w:r>
      <w:r>
        <w:t>。</w:t>
      </w:r>
    </w:p>
    <w:p w14:paraId="712E94D5" w14:textId="77777777" w:rsidR="002072FB" w:rsidRDefault="00951B6D">
      <w:pPr>
        <w:pStyle w:val="affe"/>
        <w:spacing w:before="120" w:after="120"/>
      </w:pPr>
      <w:r>
        <w:t>大型成分制备场所</w:t>
      </w:r>
    </w:p>
    <w:p w14:paraId="2310A8EA" w14:textId="77777777" w:rsidR="002072FB" w:rsidRDefault="00951B6D">
      <w:pPr>
        <w:pStyle w:val="afffff5"/>
        <w:ind w:firstLine="420"/>
      </w:pPr>
      <w:r>
        <w:t>含待检库、成分分离（可独立）。使用面积宜</w:t>
      </w:r>
      <w:r>
        <w:t>420m</w:t>
      </w:r>
      <w:r>
        <w:t>²</w:t>
      </w:r>
      <w:r>
        <w:t>～</w:t>
      </w:r>
      <w:r>
        <w:t>680m</w:t>
      </w:r>
      <w:r>
        <w:t>²</w:t>
      </w:r>
      <w:r>
        <w:t>，其中业务用房面积宜</w:t>
      </w:r>
      <w:r>
        <w:t>360m</w:t>
      </w:r>
      <w:r>
        <w:t>²</w:t>
      </w:r>
      <w:r>
        <w:t>～</w:t>
      </w:r>
      <w:r>
        <w:t>575m</w:t>
      </w:r>
      <w:r>
        <w:t>²</w:t>
      </w:r>
      <w:r>
        <w:t>，行政用房宜</w:t>
      </w:r>
      <w:r>
        <w:t>40m</w:t>
      </w:r>
      <w:r>
        <w:t>²</w:t>
      </w:r>
      <w:r>
        <w:t>～</w:t>
      </w:r>
      <w:r>
        <w:t>75m</w:t>
      </w:r>
      <w:r>
        <w:t>²</w:t>
      </w:r>
      <w:r>
        <w:t>，保障用房宜</w:t>
      </w:r>
      <w:r>
        <w:t>20m</w:t>
      </w:r>
      <w:r>
        <w:t>²</w:t>
      </w:r>
      <w:r>
        <w:t>～</w:t>
      </w:r>
      <w:r>
        <w:t>30m</w:t>
      </w:r>
      <w:r>
        <w:t>²</w:t>
      </w:r>
      <w:r>
        <w:t>，建议设置独立科普参观通道。</w:t>
      </w:r>
    </w:p>
    <w:p w14:paraId="512CE476" w14:textId="77777777" w:rsidR="002072FB" w:rsidRDefault="00951B6D">
      <w:pPr>
        <w:pStyle w:val="affe"/>
        <w:spacing w:before="120" w:after="120"/>
      </w:pPr>
      <w:r>
        <w:lastRenderedPageBreak/>
        <w:t>超大型成分制备场所</w:t>
      </w:r>
    </w:p>
    <w:p w14:paraId="42455956" w14:textId="77777777" w:rsidR="002072FB" w:rsidRDefault="00951B6D">
      <w:pPr>
        <w:pStyle w:val="afffff5"/>
        <w:ind w:firstLine="420"/>
      </w:pPr>
      <w:r>
        <w:t>含待检库、成分分离（可独立）。使用面积宜</w:t>
      </w:r>
      <w:r>
        <w:t>680m</w:t>
      </w:r>
      <w:r>
        <w:t>²</w:t>
      </w:r>
      <w:r>
        <w:t>以上（以分离红细胞</w:t>
      </w:r>
      <w:r>
        <w:t>250000U/</w:t>
      </w:r>
      <w:r>
        <w:t>年为基数，每增加</w:t>
      </w:r>
      <w:r>
        <w:t>10000U</w:t>
      </w:r>
      <w:r>
        <w:t>，总使用面积宜增加</w:t>
      </w:r>
      <w:r>
        <w:t>25m</w:t>
      </w:r>
      <w:r>
        <w:t>²</w:t>
      </w:r>
      <w:r>
        <w:t>），其中业务用房面积宜</w:t>
      </w:r>
      <w:r>
        <w:t>575m</w:t>
      </w:r>
      <w:r>
        <w:t>²</w:t>
      </w:r>
      <w:r>
        <w:t>以上，行政用房宜</w:t>
      </w:r>
      <w:r>
        <w:t>75m</w:t>
      </w:r>
      <w:r>
        <w:t>²</w:t>
      </w:r>
      <w:r>
        <w:t>以上，保障用房宜</w:t>
      </w:r>
      <w:r>
        <w:t>30m</w:t>
      </w:r>
      <w:r>
        <w:t>²</w:t>
      </w:r>
      <w:r>
        <w:t>以上，建议设置独立科普参观通道</w:t>
      </w:r>
      <w:r>
        <w:rPr>
          <w:rFonts w:hint="eastAsia"/>
        </w:rPr>
        <w:t>。</w:t>
      </w:r>
    </w:p>
    <w:p w14:paraId="7981033E" w14:textId="77777777" w:rsidR="002072FB" w:rsidRDefault="00951B6D">
      <w:pPr>
        <w:pStyle w:val="affc"/>
        <w:spacing w:before="240" w:after="240"/>
      </w:pPr>
      <w:bookmarkStart w:id="74" w:name="_Toc155082125"/>
      <w:bookmarkStart w:id="75" w:name="_Toc155082148"/>
      <w:r>
        <w:t>建筑设计</w:t>
      </w:r>
      <w:bookmarkEnd w:id="74"/>
      <w:bookmarkEnd w:id="75"/>
    </w:p>
    <w:p w14:paraId="65665AE8" w14:textId="77777777" w:rsidR="002072FB" w:rsidRDefault="00951B6D">
      <w:pPr>
        <w:pStyle w:val="affffffffe"/>
      </w:pPr>
      <w:r>
        <w:t>成分制备区域与办公生活区域严格分离，有独立更衣间。</w:t>
      </w:r>
    </w:p>
    <w:p w14:paraId="22BA5A03" w14:textId="77777777" w:rsidR="002072FB" w:rsidRDefault="00951B6D">
      <w:pPr>
        <w:pStyle w:val="affffffffe"/>
      </w:pPr>
      <w:r>
        <w:t>宜设置独立成分制备区域，能防鼠、防蚊蝇。成分制备区域具有明显加工标识区域，合格品、不合格品、待检品等应分别存放，并有明显识别标记。</w:t>
      </w:r>
    </w:p>
    <w:p w14:paraId="621BF5DC" w14:textId="77777777" w:rsidR="002072FB" w:rsidRDefault="00951B6D">
      <w:pPr>
        <w:pStyle w:val="affffffffe"/>
      </w:pPr>
      <w:r>
        <w:t>应按标准配置紫外线消毒装置或其他有效的消毒装置，装置宜具备自动定时功能，空气细菌落总数应符合现行《医疗机构消毒技术规范》和《医院消毒卫生标准》中</w:t>
      </w:r>
      <w:r>
        <w:t>Ⅲ</w:t>
      </w:r>
      <w:r>
        <w:t>类环境标准的要求。</w:t>
      </w:r>
    </w:p>
    <w:p w14:paraId="65B3F1C7" w14:textId="77777777" w:rsidR="002072FB" w:rsidRDefault="00951B6D">
      <w:pPr>
        <w:pStyle w:val="affffffffe"/>
      </w:pPr>
      <w:r>
        <w:t>物料宜独立存储，且符合温湿度要求。</w:t>
      </w:r>
    </w:p>
    <w:p w14:paraId="434F5EF9" w14:textId="77777777" w:rsidR="002072FB" w:rsidRDefault="00951B6D">
      <w:pPr>
        <w:pStyle w:val="affffffffe"/>
      </w:pPr>
      <w:r>
        <w:t>地面宜采用医用级地胶地板、</w:t>
      </w:r>
      <w:r>
        <w:t>PVC</w:t>
      </w:r>
      <w:r>
        <w:t>地板或环氧树脂自流平等。</w:t>
      </w:r>
    </w:p>
    <w:p w14:paraId="56FB3DB6" w14:textId="77777777" w:rsidR="002072FB" w:rsidRDefault="00951B6D">
      <w:pPr>
        <w:pStyle w:val="affffffffe"/>
      </w:pPr>
      <w:r>
        <w:t>墙体宜刷防水乳胶漆或使用净化板。</w:t>
      </w:r>
    </w:p>
    <w:p w14:paraId="7F7B655A" w14:textId="77777777" w:rsidR="002072FB" w:rsidRDefault="00951B6D">
      <w:pPr>
        <w:pStyle w:val="affffffffe"/>
      </w:pPr>
      <w:r>
        <w:t>房间净高宜不低于</w:t>
      </w:r>
      <w:r>
        <w:t>3m</w:t>
      </w:r>
      <w:r>
        <w:t>，吊顶宜采用无粉</w:t>
      </w:r>
      <w:r>
        <w:rPr>
          <w:rFonts w:hint="eastAsia"/>
        </w:rPr>
        <w:t>尘</w:t>
      </w:r>
      <w:r>
        <w:t>石膏板、铝板、</w:t>
      </w:r>
      <w:r>
        <w:t>GRP</w:t>
      </w:r>
      <w:r>
        <w:t>板等。</w:t>
      </w:r>
    </w:p>
    <w:p w14:paraId="3BEC1FA9" w14:textId="77777777" w:rsidR="002072FB" w:rsidRDefault="00951B6D">
      <w:pPr>
        <w:pStyle w:val="affffffffe"/>
      </w:pPr>
      <w:r>
        <w:t>根据坐姿和站姿不同，设备工作台高度宜在</w:t>
      </w:r>
      <w:r>
        <w:t>75cm</w:t>
      </w:r>
      <w:r>
        <w:t>～</w:t>
      </w:r>
      <w:r>
        <w:t>85cm</w:t>
      </w:r>
      <w:r>
        <w:t>。</w:t>
      </w:r>
    </w:p>
    <w:p w14:paraId="6C877ADF" w14:textId="77777777" w:rsidR="002072FB" w:rsidRDefault="00951B6D">
      <w:pPr>
        <w:pStyle w:val="affffffffe"/>
      </w:pPr>
      <w:r>
        <w:t>非一楼场所宜建立专用的血液运输电梯和医疗垃圾运输电梯，并充分考虑运送大型设备的需求。</w:t>
      </w:r>
    </w:p>
    <w:p w14:paraId="2481AD1B" w14:textId="77777777" w:rsidR="002072FB" w:rsidRDefault="00951B6D">
      <w:pPr>
        <w:pStyle w:val="affffffffe"/>
      </w:pPr>
      <w:r>
        <w:t>应有医疗废物暂存器具，符合有关法律法规要求。</w:t>
      </w:r>
    </w:p>
    <w:p w14:paraId="1DDAB476" w14:textId="77777777" w:rsidR="002072FB" w:rsidRDefault="00951B6D">
      <w:pPr>
        <w:pStyle w:val="affffffffe"/>
      </w:pPr>
      <w:r>
        <w:t>小型、中型成分制备可以不设辐照室，大型及超大型成分制备可设置独立的辐照室。</w:t>
      </w:r>
    </w:p>
    <w:p w14:paraId="6A49C990" w14:textId="77777777" w:rsidR="002072FB" w:rsidRDefault="00951B6D">
      <w:pPr>
        <w:pStyle w:val="affffffffe"/>
      </w:pPr>
      <w:r>
        <w:t>设有制备血液成分开放系统的，应按现行《血站技术操作规程》中的要求设置相关设施。</w:t>
      </w:r>
    </w:p>
    <w:p w14:paraId="2BC68A15" w14:textId="77777777" w:rsidR="002072FB" w:rsidRDefault="00951B6D">
      <w:pPr>
        <w:pStyle w:val="affc"/>
        <w:spacing w:before="240" w:after="240"/>
      </w:pPr>
      <w:bookmarkStart w:id="76" w:name="_Toc155082149"/>
      <w:bookmarkStart w:id="77" w:name="_Toc155082126"/>
      <w:r>
        <w:t>结构设计</w:t>
      </w:r>
      <w:bookmarkEnd w:id="76"/>
      <w:bookmarkEnd w:id="77"/>
    </w:p>
    <w:p w14:paraId="7AAC0943" w14:textId="77777777" w:rsidR="002072FB" w:rsidRDefault="00951B6D">
      <w:pPr>
        <w:pStyle w:val="afffff5"/>
        <w:ind w:firstLine="420"/>
      </w:pPr>
      <w:r>
        <w:t>成分制备楼层建筑承重设计应充分考虑设备重量及设备震动噪声控制，楼层承重不低于拟投放设备的最大荷载。</w:t>
      </w:r>
    </w:p>
    <w:p w14:paraId="34EC540A" w14:textId="77777777" w:rsidR="002072FB" w:rsidRDefault="00951B6D">
      <w:pPr>
        <w:pStyle w:val="affc"/>
        <w:spacing w:before="240" w:after="240"/>
      </w:pPr>
      <w:bookmarkStart w:id="78" w:name="_Toc155082127"/>
      <w:bookmarkStart w:id="79" w:name="_Toc155082150"/>
      <w:r>
        <w:t>消洗设施</w:t>
      </w:r>
      <w:bookmarkEnd w:id="78"/>
      <w:bookmarkEnd w:id="79"/>
    </w:p>
    <w:p w14:paraId="6960D17B" w14:textId="77777777" w:rsidR="002072FB" w:rsidRDefault="00951B6D">
      <w:pPr>
        <w:pStyle w:val="affffffffe"/>
      </w:pPr>
      <w:r>
        <w:t>成分制备场所内宜有消毒池，紧急喷淋及冲眼装置。</w:t>
      </w:r>
    </w:p>
    <w:p w14:paraId="42515152" w14:textId="77777777" w:rsidR="002072FB" w:rsidRDefault="00951B6D">
      <w:pPr>
        <w:pStyle w:val="affffffffe"/>
      </w:pPr>
      <w:r>
        <w:t>应设有工作人员洗手设施。</w:t>
      </w:r>
    </w:p>
    <w:p w14:paraId="44A9975F" w14:textId="77777777" w:rsidR="002072FB" w:rsidRDefault="00951B6D">
      <w:pPr>
        <w:pStyle w:val="affc"/>
        <w:spacing w:before="240" w:after="240"/>
      </w:pPr>
      <w:bookmarkStart w:id="80" w:name="_Toc155082128"/>
      <w:bookmarkStart w:id="81" w:name="_Toc155082151"/>
      <w:r>
        <w:t>暖通空调</w:t>
      </w:r>
      <w:bookmarkEnd w:id="80"/>
      <w:bookmarkEnd w:id="81"/>
    </w:p>
    <w:p w14:paraId="3920F686" w14:textId="77777777" w:rsidR="002072FB" w:rsidRDefault="00951B6D">
      <w:pPr>
        <w:pStyle w:val="afffff5"/>
        <w:ind w:firstLine="420"/>
      </w:pPr>
      <w:r>
        <w:t>具有可调节的温度控制按钮，室内的温湿度应符合国家现行《室内空气质量标准》规定的要求</w:t>
      </w:r>
      <w:r>
        <w:rPr>
          <w:rFonts w:hint="eastAsia"/>
        </w:rPr>
        <w:t>。</w:t>
      </w:r>
    </w:p>
    <w:p w14:paraId="409E3272" w14:textId="77777777" w:rsidR="002072FB" w:rsidRDefault="00951B6D">
      <w:pPr>
        <w:pStyle w:val="affc"/>
        <w:spacing w:before="240" w:after="240"/>
      </w:pPr>
      <w:bookmarkStart w:id="82" w:name="_Toc155082152"/>
      <w:bookmarkStart w:id="83" w:name="_Toc155082129"/>
      <w:r>
        <w:t>电气</w:t>
      </w:r>
      <w:bookmarkEnd w:id="82"/>
      <w:bookmarkEnd w:id="83"/>
    </w:p>
    <w:p w14:paraId="100208FF" w14:textId="77777777" w:rsidR="002072FB" w:rsidRDefault="00951B6D">
      <w:pPr>
        <w:pStyle w:val="affffffffe"/>
      </w:pPr>
      <w:r>
        <w:t>具有区域独立电源控制开关。</w:t>
      </w:r>
    </w:p>
    <w:p w14:paraId="391FE059" w14:textId="77777777" w:rsidR="002072FB" w:rsidRDefault="00951B6D">
      <w:pPr>
        <w:pStyle w:val="affffffffe"/>
      </w:pPr>
      <w:r>
        <w:t>独立照明供电线路，应配备应急备用照明设施。</w:t>
      </w:r>
    </w:p>
    <w:p w14:paraId="16EE9BA3" w14:textId="77777777" w:rsidR="002072FB" w:rsidRDefault="00951B6D">
      <w:pPr>
        <w:pStyle w:val="affffffffe"/>
      </w:pPr>
      <w:r>
        <w:t>应有双路供电或根据设备使用情况配备不间断电力供应设施。</w:t>
      </w:r>
    </w:p>
    <w:p w14:paraId="5AD585DE" w14:textId="77777777" w:rsidR="002072FB" w:rsidRDefault="00951B6D">
      <w:pPr>
        <w:pStyle w:val="affffffffe"/>
      </w:pPr>
      <w:r>
        <w:t>根据不同设备的用电负荷，提供</w:t>
      </w:r>
      <w:r>
        <w:t>380V/220V</w:t>
      </w:r>
      <w:r>
        <w:t>的独立电源。</w:t>
      </w:r>
    </w:p>
    <w:p w14:paraId="4C7D84B1" w14:textId="77777777" w:rsidR="002072FB" w:rsidRDefault="00951B6D">
      <w:pPr>
        <w:pStyle w:val="affffffffe"/>
      </w:pPr>
      <w:r>
        <w:t>工作区域照度宜不低于</w:t>
      </w:r>
      <w:r>
        <w:t>300lx</w:t>
      </w:r>
      <w:r>
        <w:t>。</w:t>
      </w:r>
    </w:p>
    <w:p w14:paraId="06585B7D" w14:textId="77777777" w:rsidR="002072FB" w:rsidRDefault="00951B6D">
      <w:pPr>
        <w:pStyle w:val="affc"/>
        <w:spacing w:before="240" w:after="240"/>
      </w:pPr>
      <w:bookmarkStart w:id="84" w:name="_Toc155082130"/>
      <w:bookmarkStart w:id="85" w:name="_Toc155082153"/>
      <w:r>
        <w:t>信息系统</w:t>
      </w:r>
      <w:bookmarkEnd w:id="84"/>
      <w:bookmarkEnd w:id="85"/>
    </w:p>
    <w:p w14:paraId="06BA6E14" w14:textId="77777777" w:rsidR="002072FB" w:rsidRDefault="00951B6D">
      <w:pPr>
        <w:pStyle w:val="afffff5"/>
        <w:ind w:firstLine="420"/>
      </w:pPr>
      <w:r>
        <w:t>应具备血站信息管理系统及成分信息化管理系统。</w:t>
      </w:r>
    </w:p>
    <w:p w14:paraId="391DBA6D" w14:textId="77777777" w:rsidR="002072FB" w:rsidRDefault="00951B6D">
      <w:pPr>
        <w:pStyle w:val="affc"/>
        <w:spacing w:before="240" w:after="240"/>
      </w:pPr>
      <w:bookmarkStart w:id="86" w:name="_Toc155082154"/>
      <w:bookmarkStart w:id="87" w:name="_Toc155082131"/>
      <w:r>
        <w:t>消防与安全设施</w:t>
      </w:r>
      <w:bookmarkEnd w:id="86"/>
      <w:bookmarkEnd w:id="87"/>
    </w:p>
    <w:p w14:paraId="4485B42D" w14:textId="77777777" w:rsidR="002072FB" w:rsidRDefault="00951B6D">
      <w:pPr>
        <w:pStyle w:val="afffff5"/>
        <w:ind w:firstLine="420"/>
      </w:pPr>
      <w:r>
        <w:lastRenderedPageBreak/>
        <w:t>应根据消防要求配备相应的灭火器材、装备和个人防护器材。</w:t>
      </w:r>
    </w:p>
    <w:p w14:paraId="585DEE40" w14:textId="77777777" w:rsidR="002072FB" w:rsidRDefault="00951B6D">
      <w:pPr>
        <w:pStyle w:val="affc"/>
        <w:spacing w:before="240" w:after="240"/>
      </w:pPr>
      <w:bookmarkStart w:id="88" w:name="_Toc155082155"/>
      <w:bookmarkStart w:id="89" w:name="_Toc155082132"/>
      <w:r>
        <w:t>制备布局</w:t>
      </w:r>
      <w:bookmarkEnd w:id="88"/>
      <w:bookmarkEnd w:id="89"/>
    </w:p>
    <w:p w14:paraId="2689E72A" w14:textId="77777777" w:rsidR="002072FB" w:rsidRDefault="00951B6D">
      <w:pPr>
        <w:pStyle w:val="affd"/>
        <w:spacing w:before="120" w:after="120"/>
      </w:pPr>
      <w:bookmarkStart w:id="90" w:name="_Toc155082133"/>
      <w:r>
        <w:t>小型及中型成分制备</w:t>
      </w:r>
      <w:bookmarkEnd w:id="90"/>
    </w:p>
    <w:p w14:paraId="13760EE7" w14:textId="77777777" w:rsidR="002072FB" w:rsidRDefault="00951B6D">
      <w:pPr>
        <w:pStyle w:val="afffff5"/>
        <w:ind w:firstLine="420"/>
      </w:pPr>
      <w:r>
        <w:t>宜开放式，按业务流程布置区域，尽量减少交叉走动，人流、物流宜</w:t>
      </w:r>
      <w:r>
        <w:t>“</w:t>
      </w:r>
      <w:r>
        <w:t>单向流</w:t>
      </w:r>
      <w:r>
        <w:t>”</w:t>
      </w:r>
      <w:r>
        <w:t>。</w:t>
      </w:r>
    </w:p>
    <w:p w14:paraId="332662D3" w14:textId="77777777" w:rsidR="002072FB" w:rsidRDefault="00951B6D">
      <w:pPr>
        <w:pStyle w:val="affd"/>
        <w:spacing w:before="120" w:after="120"/>
      </w:pPr>
      <w:bookmarkStart w:id="91" w:name="_Toc155082134"/>
      <w:r>
        <w:t>大型及超大型成分制备</w:t>
      </w:r>
      <w:bookmarkEnd w:id="91"/>
    </w:p>
    <w:p w14:paraId="62AA0740" w14:textId="77777777" w:rsidR="002072FB" w:rsidRDefault="00951B6D">
      <w:pPr>
        <w:pStyle w:val="afffff5"/>
        <w:ind w:firstLine="420"/>
      </w:pPr>
      <w:r>
        <w:t>宜开放式，对不同制备区域应有明显标识，宜采用大型集中处理、流水传输方式，预留自动传输机械臂或无轨机器人运输通道，人流、物流宜</w:t>
      </w:r>
      <w:r>
        <w:t>“</w:t>
      </w:r>
      <w:r>
        <w:t>单向流</w:t>
      </w:r>
      <w:r>
        <w:t>”</w:t>
      </w:r>
      <w:r>
        <w:t>。</w:t>
      </w:r>
    </w:p>
    <w:p w14:paraId="2FE510D8" w14:textId="77777777" w:rsidR="002072FB" w:rsidRDefault="00951B6D">
      <w:pPr>
        <w:pStyle w:val="affc"/>
        <w:spacing w:before="240" w:after="240"/>
      </w:pPr>
      <w:bookmarkStart w:id="92" w:name="_Toc155082135"/>
      <w:bookmarkStart w:id="93" w:name="_Toc155082156"/>
      <w:r>
        <w:t>设备配置</w:t>
      </w:r>
      <w:bookmarkEnd w:id="92"/>
      <w:bookmarkEnd w:id="93"/>
    </w:p>
    <w:p w14:paraId="01C40C35" w14:textId="77777777" w:rsidR="002072FB" w:rsidRDefault="00951B6D">
      <w:pPr>
        <w:pStyle w:val="affd"/>
        <w:spacing w:before="120" w:after="120"/>
      </w:pPr>
      <w:bookmarkStart w:id="94" w:name="_Toc155082136"/>
      <w:r>
        <w:t>冰箱、冰柜、冷库</w:t>
      </w:r>
      <w:bookmarkEnd w:id="94"/>
    </w:p>
    <w:p w14:paraId="591509A5" w14:textId="77777777" w:rsidR="002072FB" w:rsidRDefault="00951B6D">
      <w:pPr>
        <w:pStyle w:val="afffff5"/>
        <w:ind w:firstLine="420"/>
      </w:pPr>
      <w:r>
        <w:t>小型、中型成分制备：配备相应温度要求的专用冰箱以满足全血及红细胞类储存、血浆储存和冰冻红细胞储存等需求。</w:t>
      </w:r>
    </w:p>
    <w:p w14:paraId="171FE839" w14:textId="77777777" w:rsidR="002072FB" w:rsidRDefault="00951B6D">
      <w:pPr>
        <w:pStyle w:val="afffff5"/>
        <w:ind w:firstLine="420"/>
      </w:pPr>
      <w:r>
        <w:t>大型、超大型成分制备：除了配备上述专用冰箱外，宜配置独立冷库用于全血及红细胞类储存和血浆储存。</w:t>
      </w:r>
    </w:p>
    <w:p w14:paraId="3E1C7EB1" w14:textId="77777777" w:rsidR="002072FB" w:rsidRDefault="00951B6D">
      <w:pPr>
        <w:pStyle w:val="affd"/>
        <w:spacing w:before="120" w:after="120"/>
      </w:pPr>
      <w:bookmarkStart w:id="95" w:name="_Toc155082137"/>
      <w:r>
        <w:t>离心设备</w:t>
      </w:r>
      <w:bookmarkEnd w:id="95"/>
    </w:p>
    <w:p w14:paraId="663517AD" w14:textId="77777777" w:rsidR="002072FB" w:rsidRDefault="00951B6D">
      <w:pPr>
        <w:pStyle w:val="afffff5"/>
        <w:ind w:firstLine="420"/>
      </w:pPr>
      <w:r>
        <w:t>小型成分制备：</w:t>
      </w:r>
      <w:r>
        <w:t>2</w:t>
      </w:r>
      <w:r>
        <w:t>～</w:t>
      </w:r>
      <w:r>
        <w:t>5</w:t>
      </w:r>
      <w:r>
        <w:t>台；</w:t>
      </w:r>
    </w:p>
    <w:p w14:paraId="1DDA3DB6" w14:textId="77777777" w:rsidR="002072FB" w:rsidRDefault="00951B6D">
      <w:pPr>
        <w:pStyle w:val="afffff5"/>
        <w:ind w:firstLine="420"/>
      </w:pPr>
      <w:r>
        <w:t>中型成分制备：</w:t>
      </w:r>
      <w:r>
        <w:t>5</w:t>
      </w:r>
      <w:r>
        <w:t>～</w:t>
      </w:r>
      <w:r>
        <w:t>8</w:t>
      </w:r>
      <w:r>
        <w:t>台；</w:t>
      </w:r>
    </w:p>
    <w:p w14:paraId="587E3E3E" w14:textId="77777777" w:rsidR="002072FB" w:rsidRDefault="00951B6D">
      <w:pPr>
        <w:pStyle w:val="afffff5"/>
        <w:ind w:firstLine="420"/>
      </w:pPr>
      <w:r>
        <w:t>大型成分制备：</w:t>
      </w:r>
      <w:r>
        <w:t>8</w:t>
      </w:r>
      <w:r>
        <w:t>～</w:t>
      </w:r>
      <w:r>
        <w:t>12</w:t>
      </w:r>
      <w:r>
        <w:t>台；</w:t>
      </w:r>
    </w:p>
    <w:p w14:paraId="7E26A32A" w14:textId="77777777" w:rsidR="002072FB" w:rsidRDefault="00951B6D">
      <w:pPr>
        <w:pStyle w:val="afffff5"/>
        <w:ind w:firstLine="420"/>
      </w:pPr>
      <w:r>
        <w:t>超大型成分制备：</w:t>
      </w:r>
      <w:r>
        <w:t>12</w:t>
      </w:r>
      <w:r>
        <w:t>台以上。</w:t>
      </w:r>
    </w:p>
    <w:p w14:paraId="2B4E8FE0" w14:textId="77777777" w:rsidR="002072FB" w:rsidRDefault="00951B6D">
      <w:pPr>
        <w:pStyle w:val="affd"/>
        <w:spacing w:before="120" w:after="120"/>
      </w:pPr>
      <w:bookmarkStart w:id="96" w:name="_Toc155082138"/>
      <w:r>
        <w:t>分离设备</w:t>
      </w:r>
      <w:bookmarkEnd w:id="96"/>
    </w:p>
    <w:p w14:paraId="7FF24389" w14:textId="77777777" w:rsidR="002072FB" w:rsidRDefault="00951B6D">
      <w:pPr>
        <w:pStyle w:val="afffff5"/>
        <w:ind w:firstLine="420"/>
      </w:pPr>
      <w:r>
        <w:t>小型成分制备：</w:t>
      </w:r>
      <w:r>
        <w:t>3</w:t>
      </w:r>
      <w:r>
        <w:t>～</w:t>
      </w:r>
      <w:r>
        <w:t>6</w:t>
      </w:r>
      <w:r>
        <w:t>台；</w:t>
      </w:r>
    </w:p>
    <w:p w14:paraId="0C15E3B2" w14:textId="77777777" w:rsidR="002072FB" w:rsidRDefault="00951B6D">
      <w:pPr>
        <w:pStyle w:val="afffff5"/>
        <w:ind w:firstLine="420"/>
      </w:pPr>
      <w:r>
        <w:t>中型成分制备：</w:t>
      </w:r>
      <w:r>
        <w:t>6</w:t>
      </w:r>
      <w:r>
        <w:t>～</w:t>
      </w:r>
      <w:r>
        <w:t>15</w:t>
      </w:r>
      <w:r>
        <w:t>台；</w:t>
      </w:r>
    </w:p>
    <w:p w14:paraId="3ECCE022" w14:textId="77777777" w:rsidR="002072FB" w:rsidRDefault="00951B6D">
      <w:pPr>
        <w:pStyle w:val="afffff5"/>
        <w:ind w:firstLine="420"/>
      </w:pPr>
      <w:r>
        <w:t>大型成分制备：</w:t>
      </w:r>
      <w:r>
        <w:t>15</w:t>
      </w:r>
      <w:r>
        <w:t>～</w:t>
      </w:r>
      <w:r>
        <w:t>25</w:t>
      </w:r>
      <w:r>
        <w:t>台；</w:t>
      </w:r>
    </w:p>
    <w:p w14:paraId="54BF423B" w14:textId="77777777" w:rsidR="002072FB" w:rsidRDefault="00951B6D">
      <w:pPr>
        <w:pStyle w:val="afffff5"/>
        <w:ind w:firstLine="420"/>
      </w:pPr>
      <w:r>
        <w:t>超大型成分制备：</w:t>
      </w:r>
      <w:r>
        <w:t>25</w:t>
      </w:r>
      <w:r>
        <w:t>台以上。</w:t>
      </w:r>
    </w:p>
    <w:p w14:paraId="485CAF05" w14:textId="77777777" w:rsidR="002072FB" w:rsidRDefault="00951B6D">
      <w:pPr>
        <w:pStyle w:val="affd"/>
        <w:spacing w:before="120" w:after="120"/>
      </w:pPr>
      <w:bookmarkStart w:id="97" w:name="_Toc155082139"/>
      <w:r>
        <w:t>血浆速冻设备</w:t>
      </w:r>
      <w:bookmarkEnd w:id="97"/>
    </w:p>
    <w:p w14:paraId="26B327A3" w14:textId="77777777" w:rsidR="002072FB" w:rsidRDefault="00951B6D">
      <w:pPr>
        <w:pStyle w:val="afffff5"/>
        <w:ind w:firstLine="420"/>
      </w:pPr>
      <w:r>
        <w:t>小型成分制备：</w:t>
      </w:r>
      <w:r>
        <w:t>1</w:t>
      </w:r>
      <w:r>
        <w:t>～</w:t>
      </w:r>
      <w:r>
        <w:t>2</w:t>
      </w:r>
      <w:r>
        <w:t>台；</w:t>
      </w:r>
    </w:p>
    <w:p w14:paraId="4204635E" w14:textId="77777777" w:rsidR="002072FB" w:rsidRDefault="00951B6D">
      <w:pPr>
        <w:pStyle w:val="afffff5"/>
        <w:ind w:firstLine="420"/>
      </w:pPr>
      <w:r>
        <w:t>中型成分制备：</w:t>
      </w:r>
      <w:r>
        <w:t>2</w:t>
      </w:r>
      <w:r>
        <w:t>～</w:t>
      </w:r>
      <w:r>
        <w:t>4</w:t>
      </w:r>
      <w:r>
        <w:t>台；</w:t>
      </w:r>
    </w:p>
    <w:p w14:paraId="3D64EE1B" w14:textId="77777777" w:rsidR="002072FB" w:rsidRDefault="00951B6D">
      <w:pPr>
        <w:pStyle w:val="afffff5"/>
        <w:ind w:firstLine="420"/>
      </w:pPr>
      <w:r>
        <w:t>大型成分制备：</w:t>
      </w:r>
      <w:r>
        <w:t>4</w:t>
      </w:r>
      <w:r>
        <w:t>～</w:t>
      </w:r>
      <w:r>
        <w:t>6</w:t>
      </w:r>
      <w:r>
        <w:t>台；</w:t>
      </w:r>
    </w:p>
    <w:p w14:paraId="640F5D4B" w14:textId="77777777" w:rsidR="002072FB" w:rsidRDefault="00951B6D">
      <w:pPr>
        <w:pStyle w:val="afffff5"/>
        <w:ind w:firstLine="420"/>
      </w:pPr>
      <w:r>
        <w:t>超大型成分制备：</w:t>
      </w:r>
      <w:r>
        <w:t>6</w:t>
      </w:r>
      <w:r>
        <w:t>台以上。</w:t>
      </w:r>
    </w:p>
    <w:p w14:paraId="3C7AFE22" w14:textId="77777777" w:rsidR="002072FB" w:rsidRDefault="00951B6D">
      <w:pPr>
        <w:pStyle w:val="affd"/>
        <w:spacing w:before="120" w:after="120"/>
      </w:pPr>
      <w:bookmarkStart w:id="98" w:name="_Toc155082140"/>
      <w:r>
        <w:t>其他设备</w:t>
      </w:r>
      <w:bookmarkEnd w:id="98"/>
    </w:p>
    <w:p w14:paraId="557429CE" w14:textId="77777777" w:rsidR="002072FB" w:rsidRDefault="00951B6D">
      <w:pPr>
        <w:pStyle w:val="afffff5"/>
        <w:ind w:firstLine="420"/>
      </w:pPr>
      <w:r>
        <w:t>根据业务开展情况，配置但不仅限于以下设备：滤白设备、低温操作台、配平仪、无菌接驳设备、病毒灭活及灭活监测设备、水浴式低温融化箱（冷沉淀制备仪</w:t>
      </w:r>
      <w:r>
        <w:t>)</w:t>
      </w:r>
      <w:r>
        <w:t>、全自动红细胞处理仪、热合机、血小板振荡箱、电子秤、血液辐照设备等。</w:t>
      </w:r>
    </w:p>
    <w:p w14:paraId="64749A4D" w14:textId="77777777" w:rsidR="002072FB" w:rsidRDefault="00951B6D">
      <w:pPr>
        <w:pStyle w:val="affd"/>
        <w:spacing w:before="120" w:after="120"/>
      </w:pPr>
      <w:bookmarkStart w:id="99" w:name="_Toc155082141"/>
      <w:r>
        <w:t>单台关键设</w:t>
      </w:r>
      <w:bookmarkEnd w:id="25"/>
      <w:r>
        <w:t>备应考虑维修时的应急备用措施</w:t>
      </w:r>
      <w:r>
        <w:rPr>
          <w:rFonts w:hint="eastAsia"/>
        </w:rPr>
        <w:t>。</w:t>
      </w:r>
      <w:bookmarkEnd w:id="99"/>
    </w:p>
    <w:p w14:paraId="287582C0" w14:textId="77777777" w:rsidR="00951B6D" w:rsidRDefault="00951B6D" w:rsidP="00951B6D">
      <w:pPr>
        <w:pStyle w:val="afffff5"/>
        <w:ind w:firstLineChars="0" w:firstLine="0"/>
      </w:pPr>
    </w:p>
    <w:p w14:paraId="5F60E38C" w14:textId="0E21C812" w:rsidR="00951B6D" w:rsidRPr="00951B6D" w:rsidRDefault="00951B6D" w:rsidP="00951B6D">
      <w:pPr>
        <w:pStyle w:val="afffff5"/>
        <w:ind w:firstLineChars="0" w:firstLine="0"/>
        <w:jc w:val="center"/>
        <w:rPr>
          <w:rFonts w:hint="eastAsia"/>
        </w:rPr>
      </w:pPr>
      <w:r>
        <w:rPr>
          <w:noProof/>
        </w:rPr>
        <w:drawing>
          <wp:inline distT="0" distB="0" distL="0" distR="0" wp14:anchorId="41051CED" wp14:editId="7C338763">
            <wp:extent cx="1485900" cy="317500"/>
            <wp:effectExtent l="0" t="0" r="0" b="6350"/>
            <wp:docPr id="550691786" name="图片 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sectPr w:rsidR="00951B6D" w:rsidRPr="00951B6D">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4D113" w14:textId="77777777" w:rsidR="00951B6D" w:rsidRDefault="00951B6D">
      <w:pPr>
        <w:spacing w:line="240" w:lineRule="auto"/>
      </w:pPr>
      <w:r>
        <w:separator/>
      </w:r>
    </w:p>
  </w:endnote>
  <w:endnote w:type="continuationSeparator" w:id="0">
    <w:p w14:paraId="7D015523" w14:textId="77777777" w:rsidR="00951B6D" w:rsidRDefault="00951B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7C451" w14:textId="77777777" w:rsidR="002072FB" w:rsidRDefault="00951B6D">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DD7A6" w14:textId="77777777" w:rsidR="002072FB" w:rsidRDefault="002072FB">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5C706" w14:textId="77777777" w:rsidR="002072FB" w:rsidRDefault="002072FB">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D2A07" w14:textId="77777777" w:rsidR="002072FB" w:rsidRDefault="00951B6D">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C288C" w14:textId="77777777" w:rsidR="00951B6D" w:rsidRDefault="00951B6D">
      <w:pPr>
        <w:spacing w:line="240" w:lineRule="auto"/>
      </w:pPr>
      <w:r>
        <w:separator/>
      </w:r>
    </w:p>
  </w:footnote>
  <w:footnote w:type="continuationSeparator" w:id="0">
    <w:p w14:paraId="15985CD4" w14:textId="77777777" w:rsidR="00951B6D" w:rsidRDefault="00951B6D">
      <w:pPr>
        <w:spacing w:line="240" w:lineRule="auto"/>
      </w:pPr>
      <w:r>
        <w:continuationSeparator/>
      </w:r>
    </w:p>
  </w:footnote>
  <w:footnote w:id="1">
    <w:p w14:paraId="6402BB36" w14:textId="77777777" w:rsidR="002072FB" w:rsidRDefault="00951B6D">
      <w:pPr>
        <w:pStyle w:val="afffffffffff3"/>
        <w:ind w:left="720" w:hanging="300"/>
      </w:pPr>
      <w:r>
        <w:rPr>
          <w:rStyle w:val="affffc"/>
          <w:sz w:val="15"/>
          <w:vertAlign w:val="baseline"/>
        </w:rPr>
        <w:footnoteRef/>
      </w:r>
      <w:r>
        <w:t xml:space="preserve">) </w:t>
      </w:r>
      <w:r>
        <w:rPr>
          <w:rFonts w:hint="eastAsia"/>
        </w:rPr>
        <w:t>该指标为较为舒适的面积指标，不含科普参观通道面积。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43C78" w14:textId="77777777" w:rsidR="002072FB" w:rsidRDefault="002072FB">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EA971" w14:textId="77777777" w:rsidR="002072FB" w:rsidRDefault="00951B6D">
    <w:pPr>
      <w:pStyle w:val="affff0"/>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244F3" w14:textId="77777777" w:rsidR="002072FB" w:rsidRDefault="002072FB">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262CC" w14:textId="77777777" w:rsidR="002072FB" w:rsidRDefault="00951B6D">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T/CSBT 006—XXXX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77BD3" w14:textId="38BED7C6" w:rsidR="002072FB" w:rsidRDefault="00951B6D">
    <w:pPr>
      <w:pStyle w:val="afffffa"/>
      <w:rPr>
        <w:rFonts w:hint="eastAsia"/>
      </w:rPr>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rFonts w:hint="eastAsia"/>
        <w:noProof/>
      </w:rPr>
      <w:t>T/CSBT 006—XXXX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27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595988022">
    <w:abstractNumId w:val="0"/>
  </w:num>
  <w:num w:numId="2" w16cid:durableId="1597515139">
    <w:abstractNumId w:val="27"/>
  </w:num>
  <w:num w:numId="3" w16cid:durableId="1677920981">
    <w:abstractNumId w:val="5"/>
  </w:num>
  <w:num w:numId="4" w16cid:durableId="1821340194">
    <w:abstractNumId w:val="23"/>
  </w:num>
  <w:num w:numId="5" w16cid:durableId="2095202786">
    <w:abstractNumId w:val="18"/>
  </w:num>
  <w:num w:numId="6" w16cid:durableId="2079012178">
    <w:abstractNumId w:val="13"/>
  </w:num>
  <w:num w:numId="7" w16cid:durableId="664555961">
    <w:abstractNumId w:val="8"/>
  </w:num>
  <w:num w:numId="8" w16cid:durableId="1246501242">
    <w:abstractNumId w:val="3"/>
  </w:num>
  <w:num w:numId="9" w16cid:durableId="1837259360">
    <w:abstractNumId w:val="9"/>
  </w:num>
  <w:num w:numId="10" w16cid:durableId="36584873">
    <w:abstractNumId w:val="16"/>
  </w:num>
  <w:num w:numId="11" w16cid:durableId="1442066500">
    <w:abstractNumId w:val="25"/>
  </w:num>
  <w:num w:numId="12" w16cid:durableId="1610311573">
    <w:abstractNumId w:val="11"/>
  </w:num>
  <w:num w:numId="13" w16cid:durableId="247926897">
    <w:abstractNumId w:val="12"/>
  </w:num>
  <w:num w:numId="14" w16cid:durableId="2067995504">
    <w:abstractNumId w:val="7"/>
  </w:num>
  <w:num w:numId="15" w16cid:durableId="356393894">
    <w:abstractNumId w:val="19"/>
  </w:num>
  <w:num w:numId="16" w16cid:durableId="1210457798">
    <w:abstractNumId w:val="21"/>
  </w:num>
  <w:num w:numId="17" w16cid:durableId="2073195660">
    <w:abstractNumId w:val="17"/>
  </w:num>
  <w:num w:numId="18" w16cid:durableId="143082047">
    <w:abstractNumId w:val="29"/>
  </w:num>
  <w:num w:numId="19" w16cid:durableId="1143036887">
    <w:abstractNumId w:val="15"/>
  </w:num>
  <w:num w:numId="20" w16cid:durableId="292322973">
    <w:abstractNumId w:val="1"/>
  </w:num>
  <w:num w:numId="21" w16cid:durableId="97872364">
    <w:abstractNumId w:val="10"/>
  </w:num>
  <w:num w:numId="22" w16cid:durableId="1584801812">
    <w:abstractNumId w:val="30"/>
  </w:num>
  <w:num w:numId="23" w16cid:durableId="881870604">
    <w:abstractNumId w:val="20"/>
  </w:num>
  <w:num w:numId="24" w16cid:durableId="911085369">
    <w:abstractNumId w:val="6"/>
  </w:num>
  <w:num w:numId="25" w16cid:durableId="263466973">
    <w:abstractNumId w:val="26"/>
  </w:num>
  <w:num w:numId="26" w16cid:durableId="1797336745">
    <w:abstractNumId w:val="28"/>
  </w:num>
  <w:num w:numId="27" w16cid:durableId="941104591">
    <w:abstractNumId w:val="2"/>
  </w:num>
  <w:num w:numId="28" w16cid:durableId="603538489">
    <w:abstractNumId w:val="4"/>
  </w:num>
  <w:num w:numId="29" w16cid:durableId="1393428647">
    <w:abstractNumId w:val="14"/>
  </w:num>
  <w:num w:numId="30" w16cid:durableId="2063165038">
    <w:abstractNumId w:val="24"/>
  </w:num>
  <w:num w:numId="31" w16cid:durableId="149252311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1" w:cryptProviderType="rsaAES" w:cryptAlgorithmClass="hash" w:cryptAlgorithmType="typeAny" w:cryptAlgorithmSid="14" w:cryptSpinCount="100000" w:hash="ez30PCZcib62GoUD+zDa2W3NG/AboGR6GXgZseSh/yd22ioiDfTrwGEs/Z0oV+XSf2v1pyqu6PBDrU4QPlPX/g==" w:salt="h4zv7dA1UCa/wofNnDQJkg=="/>
  <w:defaultTabStop w:val="420"/>
  <w:drawingGridHorizontalSpacing w:val="105"/>
  <w:drawingGridVerticalSpacing w:val="156"/>
  <w:noPunctuationKerning/>
  <w:characterSpacingControl w:val="compressPunctuation"/>
  <w:hdrShapeDefaults>
    <o:shapedefaults v:ext="edit" spidmax="307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zIwNjEwOGNkMTUxOGVlYmJhYmIwYmRlNjAxZWZmZDYifQ=="/>
  </w:docVars>
  <w:rsids>
    <w:rsidRoot w:val="0040133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71D"/>
    <w:rsid w:val="0017340B"/>
    <w:rsid w:val="00173FB1"/>
    <w:rsid w:val="00176DFD"/>
    <w:rsid w:val="001852C9"/>
    <w:rsid w:val="00187A0B"/>
    <w:rsid w:val="00190087"/>
    <w:rsid w:val="001913C4"/>
    <w:rsid w:val="0019348F"/>
    <w:rsid w:val="00193A07"/>
    <w:rsid w:val="00194C95"/>
    <w:rsid w:val="00195401"/>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2FB"/>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331"/>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C9A"/>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A54"/>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1B6D"/>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77F8F"/>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84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2E61"/>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4550"/>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2CD"/>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6A5CB4"/>
    <w:rsid w:val="03C07B20"/>
    <w:rsid w:val="0A005E70"/>
    <w:rsid w:val="101B0819"/>
    <w:rsid w:val="24CF1829"/>
    <w:rsid w:val="37420A03"/>
    <w:rsid w:val="523E6D10"/>
    <w:rsid w:val="6AAA78A9"/>
    <w:rsid w:val="78EC4C55"/>
    <w:rsid w:val="7C6E5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fillcolor="white">
      <v:fill color="white"/>
    </o:shapedefaults>
    <o:shapelayout v:ext="edit">
      <o:idmap v:ext="edit" data="2"/>
    </o:shapelayout>
  </w:shapeDefaults>
  <w:decimalSymbol w:val="."/>
  <w:listSeparator w:val=","/>
  <w14:docId w14:val="5CBEA9A8"/>
  <w15:docId w15:val="{DDE08A74-CA10-40D6-8DFF-39D9B90DE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qFormat/>
    <w:pPr>
      <w:ind w:left="198"/>
    </w:pPr>
    <w:rPr>
      <w:rFonts w:ascii="宋体"/>
      <w:sz w:val="18"/>
    </w:rPr>
  </w:style>
  <w:style w:type="paragraph" w:customStyle="1" w:styleId="afffff2">
    <w:name w:val="标准文件_页脚奇数页"/>
    <w:qFormat/>
    <w:pPr>
      <w:ind w:right="227"/>
      <w:jc w:val="right"/>
    </w:pPr>
    <w:rPr>
      <w:rFonts w:ascii="宋体"/>
      <w:sz w:val="18"/>
    </w:rPr>
  </w:style>
  <w:style w:type="paragraph" w:customStyle="1" w:styleId="afffff3">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5"/>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qFormat/>
    <w:pPr>
      <w:numPr>
        <w:ilvl w:val="2"/>
      </w:numPr>
      <w:spacing w:beforeLines="50" w:before="50" w:afterLines="50" w:after="50"/>
      <w:ind w:left="0"/>
      <w:outlineLvl w:val="1"/>
    </w:pPr>
  </w:style>
  <w:style w:type="paragraph" w:customStyle="1" w:styleId="affffffe">
    <w:name w:val="标准文件_一致程度"/>
    <w:basedOn w:val="afff5"/>
    <w:qFormat/>
    <w:pPr>
      <w:spacing w:line="440" w:lineRule="exact"/>
      <w:jc w:val="center"/>
    </w:pPr>
    <w:rPr>
      <w:sz w:val="28"/>
    </w:rPr>
  </w:style>
  <w:style w:type="paragraph" w:customStyle="1" w:styleId="afffffff">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5"/>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qFormat/>
    <w:pPr>
      <w:numPr>
        <w:numId w:val="18"/>
      </w:numPr>
      <w:jc w:val="center"/>
    </w:pPr>
    <w:rPr>
      <w:rFonts w:ascii="黑体" w:eastAsia="黑体"/>
      <w:sz w:val="21"/>
    </w:rPr>
  </w:style>
  <w:style w:type="paragraph" w:customStyle="1" w:styleId="afb">
    <w:name w:val="标准文件_正文英文图标题"/>
    <w:next w:val="afffff5"/>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qFormat/>
    <w:pPr>
      <w:spacing w:before="180" w:line="180" w:lineRule="exact"/>
      <w:jc w:val="center"/>
    </w:pPr>
    <w:rPr>
      <w:rFonts w:ascii="宋体"/>
      <w:sz w:val="21"/>
    </w:rPr>
  </w:style>
  <w:style w:type="paragraph" w:customStyle="1" w:styleId="afffffff7">
    <w:name w:val="封面标准文稿类别"/>
    <w:qFormat/>
    <w:pPr>
      <w:spacing w:before="440" w:line="400" w:lineRule="exact"/>
      <w:jc w:val="center"/>
    </w:pPr>
    <w:rPr>
      <w:rFonts w:ascii="宋体"/>
      <w:sz w:val="24"/>
    </w:rPr>
  </w:style>
  <w:style w:type="paragraph" w:customStyle="1" w:styleId="afffffff8">
    <w:name w:val="封面标准英文名称"/>
    <w:qFormat/>
    <w:pPr>
      <w:widowControl w:val="0"/>
      <w:spacing w:line="360" w:lineRule="exact"/>
      <w:jc w:val="center"/>
    </w:pPr>
    <w:rPr>
      <w:sz w:val="28"/>
    </w:rPr>
  </w:style>
  <w:style w:type="paragraph" w:customStyle="1" w:styleId="afffffff9">
    <w:name w:val="封面一致性程度标识"/>
    <w:qFormat/>
    <w:pPr>
      <w:spacing w:before="440" w:line="440" w:lineRule="exact"/>
      <w:jc w:val="center"/>
    </w:pPr>
    <w:rPr>
      <w:sz w:val="28"/>
    </w:rPr>
  </w:style>
  <w:style w:type="paragraph" w:customStyle="1" w:styleId="afffffffa">
    <w:name w:val="封面正文"/>
    <w:qFormat/>
    <w:pPr>
      <w:jc w:val="both"/>
    </w:pPr>
  </w:style>
  <w:style w:type="paragraph" w:customStyle="1" w:styleId="afffffffb">
    <w:name w:val="附录二级无标题条"/>
    <w:basedOn w:val="afff5"/>
    <w:next w:val="afffff5"/>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pPr>
      <w:outlineLvl w:val="4"/>
    </w:pPr>
  </w:style>
  <w:style w:type="paragraph" w:customStyle="1" w:styleId="afffffffd">
    <w:name w:val="附录四级无标题条"/>
    <w:basedOn w:val="afffffffc"/>
    <w:next w:val="afffff5"/>
    <w:qFormat/>
    <w:pPr>
      <w:outlineLvl w:val="5"/>
    </w:pPr>
  </w:style>
  <w:style w:type="paragraph" w:customStyle="1" w:styleId="afffffffe">
    <w:name w:val="附录图"/>
    <w:next w:val="afffff5"/>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
    <w:name w:val="附录五级无标题条"/>
    <w:basedOn w:val="afffffffd"/>
    <w:next w:val="afffff5"/>
    <w:qFormat/>
    <w:pPr>
      <w:outlineLvl w:val="6"/>
    </w:pPr>
  </w:style>
  <w:style w:type="paragraph" w:customStyle="1" w:styleId="affffffff0">
    <w:name w:val="附录性质"/>
    <w:basedOn w:val="afff5"/>
    <w:qFormat/>
    <w:pPr>
      <w:widowControl/>
      <w:adjustRightInd/>
      <w:jc w:val="center"/>
    </w:pPr>
    <w:rPr>
      <w:rFonts w:ascii="黑体" w:eastAsia="黑体"/>
    </w:rPr>
  </w:style>
  <w:style w:type="paragraph" w:customStyle="1" w:styleId="affffffff1">
    <w:name w:val="附录一级无标题条"/>
    <w:basedOn w:val="affffff7"/>
    <w:next w:val="afffff5"/>
    <w:qFormat/>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qFormat/>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5">
    <w:name w:val="列项·"/>
    <w:basedOn w:val="afffff5"/>
    <w:qFormat/>
    <w:pPr>
      <w:tabs>
        <w:tab w:val="left" w:pos="840"/>
      </w:tabs>
    </w:pPr>
  </w:style>
  <w:style w:type="paragraph" w:customStyle="1" w:styleId="affffffff6">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7">
    <w:name w:val="其他标准称谓"/>
    <w:qFormat/>
    <w:pPr>
      <w:spacing w:line="0" w:lineRule="atLeast"/>
      <w:jc w:val="distribute"/>
    </w:pPr>
    <w:rPr>
      <w:rFonts w:ascii="黑体" w:eastAsia="黑体" w:hAnsi="宋体"/>
      <w:sz w:val="52"/>
    </w:rPr>
  </w:style>
  <w:style w:type="paragraph" w:customStyle="1" w:styleId="affffffff8">
    <w:name w:val="其他发布部门"/>
    <w:basedOn w:val="afffffff2"/>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9">
    <w:name w:val="实施日期"/>
    <w:basedOn w:val="afffffff3"/>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qFormat/>
    <w:pPr>
      <w:widowControl w:val="0"/>
      <w:numPr>
        <w:numId w:val="28"/>
      </w:numPr>
      <w:jc w:val="both"/>
    </w:pPr>
    <w:rPr>
      <w:rFonts w:ascii="宋体"/>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round"/>
      <w:spacing w:before="57"/>
    </w:pPr>
    <w:rPr>
      <w:sz w:val="21"/>
    </w:rPr>
  </w:style>
  <w:style w:type="paragraph" w:customStyle="1" w:styleId="affffffffff4">
    <w:name w:val="标准文件_文件名称"/>
    <w:basedOn w:val="afffff5"/>
    <w:next w:val="afffff5"/>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customStyle="1" w:styleId="afffffffffffa">
    <w:name w:val="段"/>
    <w:qFormat/>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51E71607D7340F88125EDB025F9BA84"/>
        <w:category>
          <w:name w:val="常规"/>
          <w:gallery w:val="placeholder"/>
        </w:category>
        <w:types>
          <w:type w:val="bbPlcHdr"/>
        </w:types>
        <w:behaviors>
          <w:behavior w:val="content"/>
        </w:behaviors>
        <w:guid w:val="{9216DFF4-D0A7-42A8-8FE9-D6BDA0FB19BC}"/>
      </w:docPartPr>
      <w:docPartBody>
        <w:p w:rsidR="001A64D9" w:rsidRDefault="001A64D9">
          <w:pPr>
            <w:pStyle w:val="B51E71607D7340F88125EDB025F9BA84"/>
            <w:rPr>
              <w:rFonts w:hint="eastAsia"/>
            </w:rPr>
          </w:pPr>
          <w:r>
            <w:rPr>
              <w:rStyle w:val="a3"/>
              <w:rFonts w:hint="eastAsia"/>
            </w:rPr>
            <w:t>单击或点击此处输入文字。</w:t>
          </w:r>
        </w:p>
      </w:docPartBody>
    </w:docPart>
    <w:docPart>
      <w:docPartPr>
        <w:name w:val="7D6ABD98E1D74A2D8561E798FBF03387"/>
        <w:category>
          <w:name w:val="常规"/>
          <w:gallery w:val="placeholder"/>
        </w:category>
        <w:types>
          <w:type w:val="bbPlcHdr"/>
        </w:types>
        <w:behaviors>
          <w:behavior w:val="content"/>
        </w:behaviors>
        <w:guid w:val="{485E1711-70E3-45AB-A52A-0604EBF79B6E}"/>
      </w:docPartPr>
      <w:docPartBody>
        <w:p w:rsidR="001A64D9" w:rsidRDefault="001A64D9">
          <w:pPr>
            <w:pStyle w:val="7D6ABD98E1D74A2D8561E798FBF03387"/>
            <w:rPr>
              <w:rFonts w:hint="eastAsia"/>
            </w:rPr>
          </w:pPr>
          <w:r>
            <w:rPr>
              <w:rStyle w:val="a3"/>
              <w:rFonts w:hint="eastAsia"/>
            </w:rPr>
            <w:t>选择一项。</w:t>
          </w:r>
        </w:p>
      </w:docPartBody>
    </w:docPart>
    <w:docPart>
      <w:docPartPr>
        <w:name w:val="E9F90FD2D8194C78AD8618AA12E9A995"/>
        <w:category>
          <w:name w:val="常规"/>
          <w:gallery w:val="placeholder"/>
        </w:category>
        <w:types>
          <w:type w:val="bbPlcHdr"/>
        </w:types>
        <w:behaviors>
          <w:behavior w:val="content"/>
        </w:behaviors>
        <w:guid w:val="{B250C898-E975-45D6-8F2B-365D5D2C93D8}"/>
      </w:docPartPr>
      <w:docPartBody>
        <w:p w:rsidR="001A64D9" w:rsidRDefault="001A64D9">
          <w:pPr>
            <w:pStyle w:val="E9F90FD2D8194C78AD8618AA12E9A995"/>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332"/>
    <w:rsid w:val="001A64D9"/>
    <w:rsid w:val="004F6E46"/>
    <w:rsid w:val="006A0332"/>
    <w:rsid w:val="009C7C17"/>
    <w:rsid w:val="00CB6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B51E71607D7340F88125EDB025F9BA84">
    <w:name w:val="B51E71607D7340F88125EDB025F9BA84"/>
    <w:qFormat/>
    <w:pPr>
      <w:widowControl w:val="0"/>
      <w:jc w:val="both"/>
    </w:pPr>
    <w:rPr>
      <w:kern w:val="2"/>
      <w:sz w:val="21"/>
      <w:szCs w:val="22"/>
      <w14:ligatures w14:val="standardContextual"/>
    </w:rPr>
  </w:style>
  <w:style w:type="paragraph" w:customStyle="1" w:styleId="7D6ABD98E1D74A2D8561E798FBF03387">
    <w:name w:val="7D6ABD98E1D74A2D8561E798FBF03387"/>
    <w:qFormat/>
    <w:pPr>
      <w:widowControl w:val="0"/>
      <w:jc w:val="both"/>
    </w:pPr>
    <w:rPr>
      <w:kern w:val="2"/>
      <w:sz w:val="21"/>
      <w:szCs w:val="22"/>
      <w14:ligatures w14:val="standardContextual"/>
    </w:rPr>
  </w:style>
  <w:style w:type="paragraph" w:customStyle="1" w:styleId="E9F90FD2D8194C78AD8618AA12E9A995">
    <w:name w:val="E9F90FD2D8194C78AD8618AA12E9A995"/>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0F809-F1B0-47A2-BF3F-77BC97C7211C}">
  <ds:schemaRefs/>
</ds:datastoreItem>
</file>

<file path=docProps/app.xml><?xml version="1.0" encoding="utf-8"?>
<Properties xmlns="http://schemas.openxmlformats.org/officeDocument/2006/extended-properties" xmlns:vt="http://schemas.openxmlformats.org/officeDocument/2006/docPropsVTypes">
  <Template>团体标准</Template>
  <TotalTime>4</TotalTime>
  <Pages>7</Pages>
  <Words>753</Words>
  <Characters>4295</Characters>
  <Application>Microsoft Office Word</Application>
  <DocSecurity>0</DocSecurity>
  <Lines>35</Lines>
  <Paragraphs>10</Paragraphs>
  <ScaleCrop>false</ScaleCrop>
  <Company>PCMI</Company>
  <LinksUpToDate>false</LinksUpToDate>
  <CharactersWithSpaces>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1</dc:creator>
  <dc:description>&lt;config cover="true" show_menu="true" version="1.0.0" doctype="SDKXY"&gt;_x000d_
&lt;/config&gt;</dc:description>
  <cp:lastModifiedBy>1</cp:lastModifiedBy>
  <cp:revision>3</cp:revision>
  <cp:lastPrinted>2021-02-02T08:22:00Z</cp:lastPrinted>
  <dcterms:created xsi:type="dcterms:W3CDTF">2024-01-02T00:32:00Z</dcterms:created>
  <dcterms:modified xsi:type="dcterms:W3CDTF">2024-10-31T01:25:00Z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2052-11.8.2.8276</vt:lpwstr>
  </property>
  <property fmtid="{D5CDD505-2E9C-101B-9397-08002B2CF9AE}" pid="15" name="ICV">
    <vt:lpwstr>AD52A39D51D84656AFB9AA1FB4E1F3DA_12</vt:lpwstr>
  </property>
</Properties>
</file>